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772F3" w14:textId="77777777" w:rsidR="004F45C4" w:rsidRPr="004F45C4" w:rsidRDefault="004F45C4" w:rsidP="00302632">
      <w:pPr>
        <w:spacing w:line="360" w:lineRule="auto"/>
        <w:jc w:val="center"/>
        <w:rPr>
          <w:rFonts w:ascii="Times New Roman" w:hAnsi="Times New Roman" w:cs="Times New Roman"/>
          <w:b/>
          <w:bCs/>
          <w:sz w:val="24"/>
          <w:szCs w:val="24"/>
          <w:u w:val="single"/>
        </w:rPr>
      </w:pPr>
      <w:r w:rsidRPr="004F45C4">
        <w:rPr>
          <w:rFonts w:ascii="Times New Roman" w:hAnsi="Times New Roman" w:cs="Times New Roman"/>
          <w:b/>
          <w:bCs/>
          <w:sz w:val="24"/>
          <w:szCs w:val="24"/>
          <w:u w:val="single"/>
        </w:rPr>
        <w:t>International Finance</w:t>
      </w:r>
    </w:p>
    <w:p w14:paraId="512A0FE8" w14:textId="77777777" w:rsidR="00DD7F5F" w:rsidRDefault="00DD7F5F" w:rsidP="00DD7F5F">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32989A26" w14:textId="75B168DE" w:rsidR="004F45C4" w:rsidRPr="00DD7F5F" w:rsidRDefault="004F45C4" w:rsidP="00302632">
      <w:pPr>
        <w:spacing w:line="360" w:lineRule="auto"/>
        <w:jc w:val="both"/>
        <w:rPr>
          <w:rFonts w:ascii="Times New Roman" w:hAnsi="Times New Roman" w:cs="Times New Roman"/>
          <w:b/>
          <w:bCs/>
          <w:sz w:val="24"/>
          <w:szCs w:val="24"/>
        </w:rPr>
      </w:pPr>
      <w:r w:rsidRPr="00DD7F5F">
        <w:rPr>
          <w:rFonts w:ascii="Times New Roman" w:hAnsi="Times New Roman" w:cs="Times New Roman"/>
          <w:b/>
          <w:bCs/>
          <w:sz w:val="24"/>
          <w:szCs w:val="24"/>
        </w:rPr>
        <w:t>1. A German Company want to expand their operations in Southeast Asia &amp; Europe. In the same lieu they asked Research Team as to enlist &amp; cover crucial technicalities &amp; aspects of International Finance in lines of Global Macro Economics and Global Financial Management as a whole. Elaborate the views on these factors.</w:t>
      </w:r>
    </w:p>
    <w:p w14:paraId="6C0BCA3D" w14:textId="708559B1" w:rsidR="00DC2D1E" w:rsidRPr="00DC2D1E" w:rsidRDefault="00DC2D1E" w:rsidP="00302632">
      <w:pPr>
        <w:spacing w:line="360" w:lineRule="auto"/>
        <w:jc w:val="both"/>
        <w:rPr>
          <w:rFonts w:ascii="Times New Roman" w:hAnsi="Times New Roman" w:cs="Times New Roman"/>
          <w:b/>
          <w:bCs/>
          <w:sz w:val="24"/>
          <w:szCs w:val="24"/>
        </w:rPr>
      </w:pPr>
      <w:r w:rsidRPr="00DC2D1E">
        <w:rPr>
          <w:rFonts w:ascii="Times New Roman" w:hAnsi="Times New Roman" w:cs="Times New Roman"/>
          <w:b/>
          <w:bCs/>
          <w:sz w:val="24"/>
          <w:szCs w:val="24"/>
        </w:rPr>
        <w:t>Answer:</w:t>
      </w:r>
    </w:p>
    <w:p w14:paraId="6BC6DDA1" w14:textId="4D20C383" w:rsidR="00DC2D1E" w:rsidRPr="00DC2D1E" w:rsidRDefault="00DC2D1E" w:rsidP="00302632">
      <w:pPr>
        <w:spacing w:line="360" w:lineRule="auto"/>
        <w:jc w:val="both"/>
        <w:rPr>
          <w:rFonts w:ascii="Times New Roman" w:hAnsi="Times New Roman" w:cs="Times New Roman"/>
          <w:b/>
          <w:bCs/>
          <w:sz w:val="24"/>
          <w:szCs w:val="24"/>
        </w:rPr>
      </w:pPr>
      <w:r w:rsidRPr="00DC2D1E">
        <w:rPr>
          <w:rFonts w:ascii="Times New Roman" w:hAnsi="Times New Roman" w:cs="Times New Roman"/>
          <w:b/>
          <w:bCs/>
          <w:sz w:val="24"/>
          <w:szCs w:val="24"/>
          <w:u w:val="single"/>
        </w:rPr>
        <w:t>Introduction</w:t>
      </w:r>
      <w:r w:rsidRPr="00DC2D1E">
        <w:rPr>
          <w:rFonts w:ascii="Times New Roman" w:hAnsi="Times New Roman" w:cs="Times New Roman"/>
          <w:b/>
          <w:bCs/>
          <w:sz w:val="24"/>
          <w:szCs w:val="24"/>
        </w:rPr>
        <w:t>:</w:t>
      </w:r>
    </w:p>
    <w:p w14:paraId="06F853D0" w14:textId="6BDAC94B" w:rsidR="00DC2D1E" w:rsidRDefault="009F1584" w:rsidP="00302632">
      <w:pPr>
        <w:spacing w:line="360" w:lineRule="auto"/>
        <w:jc w:val="both"/>
        <w:rPr>
          <w:rFonts w:ascii="Times New Roman" w:hAnsi="Times New Roman" w:cs="Times New Roman"/>
          <w:sz w:val="24"/>
          <w:szCs w:val="24"/>
        </w:rPr>
      </w:pPr>
      <w:r w:rsidRPr="009F1584">
        <w:rPr>
          <w:rFonts w:ascii="Times New Roman" w:hAnsi="Times New Roman" w:cs="Times New Roman"/>
          <w:sz w:val="24"/>
          <w:szCs w:val="24"/>
        </w:rPr>
        <w:t xml:space="preserve">As a German company seeks to expand its operations in Southeast Asia and Europe, understanding the intricacies of international finance is paramount. The complexities of global macroeconomics and financial management play critical roles in shaping expansion strategies. This entails </w:t>
      </w:r>
      <w:proofErr w:type="spellStart"/>
      <w:r w:rsidRPr="009F1584">
        <w:rPr>
          <w:rFonts w:ascii="Times New Roman" w:hAnsi="Times New Roman" w:cs="Times New Roman"/>
          <w:sz w:val="24"/>
          <w:szCs w:val="24"/>
        </w:rPr>
        <w:t>analyzing</w:t>
      </w:r>
      <w:proofErr w:type="spellEnd"/>
      <w:r w:rsidRPr="009F1584">
        <w:rPr>
          <w:rFonts w:ascii="Times New Roman" w:hAnsi="Times New Roman" w:cs="Times New Roman"/>
          <w:sz w:val="24"/>
          <w:szCs w:val="24"/>
        </w:rPr>
        <w:t xml:space="preserve"> economic indicators, exchange rates, inflation, and geopolitical factors that influence market stability and investment decisions. Additionally, assessing the financial environment, including the availability of credit, capital markets, and regulatory frameworks, is essential for successful operations in new regions. By comprehensively evaluating these technicalities, the research team can provide valuable insights that will guide the company in navigating the challenges and opportunities presented by international markets, ensuring sustainable growth and competitiveness in its global expansion efforts.</w:t>
      </w:r>
    </w:p>
    <w:p w14:paraId="34D14E03" w14:textId="77777777" w:rsidR="009F1584" w:rsidRDefault="009F1584" w:rsidP="00302632">
      <w:pPr>
        <w:spacing w:line="360" w:lineRule="auto"/>
        <w:jc w:val="both"/>
        <w:rPr>
          <w:rFonts w:ascii="Times New Roman" w:hAnsi="Times New Roman" w:cs="Times New Roman"/>
          <w:sz w:val="24"/>
          <w:szCs w:val="24"/>
        </w:rPr>
      </w:pPr>
    </w:p>
    <w:p w14:paraId="60B27691" w14:textId="77777777" w:rsidR="00DD7F5F" w:rsidRPr="00FF5F02" w:rsidRDefault="00DD7F5F" w:rsidP="00DD7F5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97B8D1D" w14:textId="77777777" w:rsidR="00DD7F5F" w:rsidRPr="00FF5F02" w:rsidRDefault="00DD7F5F" w:rsidP="00DD7F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3E175B7" w14:textId="77777777" w:rsidR="00DD7F5F" w:rsidRPr="00FF5F02" w:rsidRDefault="00DD7F5F" w:rsidP="00DD7F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B6DC1B4" w14:textId="77777777" w:rsidR="00DD7F5F" w:rsidRPr="00FF5F02" w:rsidRDefault="00DD7F5F" w:rsidP="00DD7F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CACD02A" w14:textId="77777777" w:rsidR="00DD7F5F" w:rsidRPr="00FF5F02" w:rsidRDefault="00DD7F5F" w:rsidP="00DD7F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CBA9075" w14:textId="77777777" w:rsidR="00DD7F5F" w:rsidRPr="00FF5F02" w:rsidRDefault="00DD7F5F" w:rsidP="00DD7F5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C44B0FE" w14:textId="77777777" w:rsidR="00DD7F5F" w:rsidRPr="00D20F89" w:rsidRDefault="00DD7F5F" w:rsidP="00DD7F5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4F22769" w14:textId="77777777" w:rsidR="009F1584" w:rsidRDefault="009F1584" w:rsidP="00302632">
      <w:pPr>
        <w:spacing w:line="360" w:lineRule="auto"/>
        <w:jc w:val="both"/>
        <w:rPr>
          <w:rFonts w:ascii="Times New Roman" w:hAnsi="Times New Roman" w:cs="Times New Roman"/>
          <w:sz w:val="24"/>
          <w:szCs w:val="24"/>
        </w:rPr>
      </w:pPr>
    </w:p>
    <w:p w14:paraId="0CA7223C" w14:textId="77777777" w:rsidR="004F45C4" w:rsidRPr="00DD7F5F" w:rsidRDefault="004F45C4" w:rsidP="00302632">
      <w:pPr>
        <w:spacing w:line="360" w:lineRule="auto"/>
        <w:jc w:val="both"/>
        <w:rPr>
          <w:rFonts w:ascii="Times New Roman" w:hAnsi="Times New Roman" w:cs="Times New Roman"/>
          <w:b/>
          <w:bCs/>
          <w:sz w:val="24"/>
          <w:szCs w:val="24"/>
        </w:rPr>
      </w:pPr>
      <w:r w:rsidRPr="00DD7F5F">
        <w:rPr>
          <w:rFonts w:ascii="Times New Roman" w:hAnsi="Times New Roman" w:cs="Times New Roman"/>
          <w:b/>
          <w:bCs/>
          <w:sz w:val="24"/>
          <w:szCs w:val="24"/>
        </w:rPr>
        <w:t>2. For Economic Planning &amp; Commission a Current Account is always instrumental in reporting Global Finance Position as per International Finance benchmark standard. If you agree to this perspective then explain Current Account paradigm in Balance of Payment process.</w:t>
      </w:r>
    </w:p>
    <w:p w14:paraId="3AF7E18C" w14:textId="77777777" w:rsidR="00DC2D1E" w:rsidRPr="00DC2D1E" w:rsidRDefault="00DC2D1E" w:rsidP="00DC2D1E">
      <w:pPr>
        <w:spacing w:line="360" w:lineRule="auto"/>
        <w:jc w:val="both"/>
        <w:rPr>
          <w:rFonts w:ascii="Times New Roman" w:hAnsi="Times New Roman" w:cs="Times New Roman"/>
          <w:b/>
          <w:bCs/>
          <w:sz w:val="24"/>
          <w:szCs w:val="24"/>
        </w:rPr>
      </w:pPr>
      <w:r w:rsidRPr="00DC2D1E">
        <w:rPr>
          <w:rFonts w:ascii="Times New Roman" w:hAnsi="Times New Roman" w:cs="Times New Roman"/>
          <w:b/>
          <w:bCs/>
          <w:sz w:val="24"/>
          <w:szCs w:val="24"/>
        </w:rPr>
        <w:t>Answer:</w:t>
      </w:r>
    </w:p>
    <w:p w14:paraId="2F00A093" w14:textId="52948AE1" w:rsidR="00DC2D1E" w:rsidRDefault="00DC2D1E" w:rsidP="00DC2D1E">
      <w:pPr>
        <w:spacing w:line="360" w:lineRule="auto"/>
        <w:jc w:val="both"/>
        <w:rPr>
          <w:rFonts w:ascii="Times New Roman" w:hAnsi="Times New Roman" w:cs="Times New Roman"/>
          <w:sz w:val="24"/>
          <w:szCs w:val="24"/>
        </w:rPr>
      </w:pPr>
      <w:r w:rsidRPr="00DC2D1E">
        <w:rPr>
          <w:rFonts w:ascii="Times New Roman" w:hAnsi="Times New Roman" w:cs="Times New Roman"/>
          <w:b/>
          <w:bCs/>
          <w:sz w:val="24"/>
          <w:szCs w:val="24"/>
          <w:u w:val="single"/>
        </w:rPr>
        <w:t>Introduction</w:t>
      </w:r>
      <w:r w:rsidRPr="00DC2D1E">
        <w:rPr>
          <w:rFonts w:ascii="Times New Roman" w:hAnsi="Times New Roman" w:cs="Times New Roman"/>
          <w:b/>
          <w:bCs/>
          <w:sz w:val="24"/>
          <w:szCs w:val="24"/>
        </w:rPr>
        <w:t>:</w:t>
      </w:r>
    </w:p>
    <w:p w14:paraId="5F9D9206" w14:textId="67A06570" w:rsidR="00DC2D1E" w:rsidRDefault="009F1584" w:rsidP="00302632">
      <w:pPr>
        <w:spacing w:line="360" w:lineRule="auto"/>
        <w:jc w:val="both"/>
        <w:rPr>
          <w:rFonts w:ascii="Times New Roman" w:hAnsi="Times New Roman" w:cs="Times New Roman"/>
          <w:sz w:val="24"/>
          <w:szCs w:val="24"/>
        </w:rPr>
      </w:pPr>
      <w:r w:rsidRPr="009F1584">
        <w:rPr>
          <w:rFonts w:ascii="Times New Roman" w:hAnsi="Times New Roman" w:cs="Times New Roman"/>
          <w:sz w:val="24"/>
          <w:szCs w:val="24"/>
        </w:rPr>
        <w:t xml:space="preserve">The Current Account is a crucial component of a country's Balance of Payments (BOP), providing a comprehensive overview of its economic transactions with the rest of the world. It encompasses trade in goods and services, income transfers, and current transfers, reflecting the nation's financial health and global economic position. In the context of global finance, the Current Account helps assess a country's ability to meet its international obligations and manage its economic relationships. By </w:t>
      </w:r>
      <w:proofErr w:type="spellStart"/>
      <w:r w:rsidRPr="009F1584">
        <w:rPr>
          <w:rFonts w:ascii="Times New Roman" w:hAnsi="Times New Roman" w:cs="Times New Roman"/>
          <w:sz w:val="24"/>
          <w:szCs w:val="24"/>
        </w:rPr>
        <w:t>analyzing</w:t>
      </w:r>
      <w:proofErr w:type="spellEnd"/>
      <w:r w:rsidRPr="009F1584">
        <w:rPr>
          <w:rFonts w:ascii="Times New Roman" w:hAnsi="Times New Roman" w:cs="Times New Roman"/>
          <w:sz w:val="24"/>
          <w:szCs w:val="24"/>
        </w:rPr>
        <w:t xml:space="preserve"> the Current Account, policymakers and economists can gauge external vulnerabilities, identify trends in international trade, and evaluate the sustainability of economic growth. This understanding is essential for effective economic planning and decision-making, making the Current Account a vital instrument in aligning with international finance benchmarks.</w:t>
      </w:r>
    </w:p>
    <w:p w14:paraId="016AC5F0" w14:textId="77777777" w:rsidR="009F1584" w:rsidRDefault="009F1584" w:rsidP="00302632">
      <w:pPr>
        <w:spacing w:line="360" w:lineRule="auto"/>
        <w:jc w:val="both"/>
        <w:rPr>
          <w:rFonts w:ascii="Times New Roman" w:hAnsi="Times New Roman" w:cs="Times New Roman"/>
          <w:sz w:val="24"/>
          <w:szCs w:val="24"/>
        </w:rPr>
      </w:pPr>
    </w:p>
    <w:p w14:paraId="5203D3BE" w14:textId="77777777" w:rsidR="00DD7F5F" w:rsidRPr="00FF5F02" w:rsidRDefault="00DD7F5F" w:rsidP="00DD7F5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7DF0BC4" w14:textId="77777777" w:rsidR="00DD7F5F" w:rsidRPr="00FF5F02" w:rsidRDefault="00DD7F5F" w:rsidP="00DD7F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2D3660C" w14:textId="77777777" w:rsidR="00DD7F5F" w:rsidRPr="00FF5F02" w:rsidRDefault="00DD7F5F" w:rsidP="00DD7F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2FEC056" w14:textId="77777777" w:rsidR="00DD7F5F" w:rsidRPr="00FF5F02" w:rsidRDefault="00DD7F5F" w:rsidP="00DD7F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2258540" w14:textId="77777777" w:rsidR="00DD7F5F" w:rsidRPr="00FF5F02" w:rsidRDefault="00DD7F5F" w:rsidP="00DD7F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475B235" w14:textId="77777777" w:rsidR="00DD7F5F" w:rsidRPr="00FF5F02" w:rsidRDefault="00DD7F5F" w:rsidP="00DD7F5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2425972" w14:textId="77777777" w:rsidR="00DD7F5F" w:rsidRPr="00D20F89" w:rsidRDefault="00DD7F5F" w:rsidP="00DD7F5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C91755D" w14:textId="77777777" w:rsidR="00DC2D1E" w:rsidRDefault="00DC2D1E" w:rsidP="00302632">
      <w:pPr>
        <w:spacing w:line="360" w:lineRule="auto"/>
        <w:jc w:val="both"/>
        <w:rPr>
          <w:rFonts w:ascii="Times New Roman" w:hAnsi="Times New Roman" w:cs="Times New Roman"/>
          <w:sz w:val="24"/>
          <w:szCs w:val="24"/>
        </w:rPr>
      </w:pPr>
    </w:p>
    <w:p w14:paraId="776DA9F4" w14:textId="77777777" w:rsidR="004F45C4" w:rsidRPr="00DD7F5F" w:rsidRDefault="004F45C4" w:rsidP="00302632">
      <w:pPr>
        <w:spacing w:line="360" w:lineRule="auto"/>
        <w:jc w:val="both"/>
        <w:rPr>
          <w:rFonts w:ascii="Times New Roman" w:hAnsi="Times New Roman" w:cs="Times New Roman"/>
          <w:b/>
          <w:bCs/>
          <w:sz w:val="24"/>
          <w:szCs w:val="24"/>
        </w:rPr>
      </w:pPr>
      <w:r w:rsidRPr="00DD7F5F">
        <w:rPr>
          <w:rFonts w:ascii="Times New Roman" w:hAnsi="Times New Roman" w:cs="Times New Roman"/>
          <w:b/>
          <w:bCs/>
          <w:sz w:val="24"/>
          <w:szCs w:val="24"/>
        </w:rPr>
        <w:t>3a. How PPP – Purchase Power Parity Theory stands out as most different &amp; crucial in International Fisher Effect? Kindly Elaborate.</w:t>
      </w:r>
    </w:p>
    <w:p w14:paraId="4F03E616" w14:textId="77777777" w:rsidR="00DC2D1E" w:rsidRPr="00DC2D1E" w:rsidRDefault="00DC2D1E" w:rsidP="00DC2D1E">
      <w:pPr>
        <w:spacing w:line="360" w:lineRule="auto"/>
        <w:jc w:val="both"/>
        <w:rPr>
          <w:rFonts w:ascii="Times New Roman" w:hAnsi="Times New Roman" w:cs="Times New Roman"/>
          <w:b/>
          <w:bCs/>
          <w:sz w:val="24"/>
          <w:szCs w:val="24"/>
        </w:rPr>
      </w:pPr>
      <w:r w:rsidRPr="00DC2D1E">
        <w:rPr>
          <w:rFonts w:ascii="Times New Roman" w:hAnsi="Times New Roman" w:cs="Times New Roman"/>
          <w:b/>
          <w:bCs/>
          <w:sz w:val="24"/>
          <w:szCs w:val="24"/>
        </w:rPr>
        <w:t>Answer:</w:t>
      </w:r>
    </w:p>
    <w:p w14:paraId="4EF1B841" w14:textId="639EBE65" w:rsidR="00DC2D1E" w:rsidRDefault="00DC2D1E" w:rsidP="00DC2D1E">
      <w:pPr>
        <w:spacing w:line="360" w:lineRule="auto"/>
        <w:jc w:val="both"/>
        <w:rPr>
          <w:rFonts w:ascii="Times New Roman" w:hAnsi="Times New Roman" w:cs="Times New Roman"/>
          <w:sz w:val="24"/>
          <w:szCs w:val="24"/>
        </w:rPr>
      </w:pPr>
      <w:r w:rsidRPr="00DC2D1E">
        <w:rPr>
          <w:rFonts w:ascii="Times New Roman" w:hAnsi="Times New Roman" w:cs="Times New Roman"/>
          <w:b/>
          <w:bCs/>
          <w:sz w:val="24"/>
          <w:szCs w:val="24"/>
          <w:u w:val="single"/>
        </w:rPr>
        <w:t>Introduction</w:t>
      </w:r>
      <w:r w:rsidRPr="00DC2D1E">
        <w:rPr>
          <w:rFonts w:ascii="Times New Roman" w:hAnsi="Times New Roman" w:cs="Times New Roman"/>
          <w:b/>
          <w:bCs/>
          <w:sz w:val="24"/>
          <w:szCs w:val="24"/>
        </w:rPr>
        <w:t>:</w:t>
      </w:r>
    </w:p>
    <w:p w14:paraId="085564AD" w14:textId="5F90F414" w:rsidR="00DC2D1E" w:rsidRDefault="009F1584" w:rsidP="00302632">
      <w:pPr>
        <w:spacing w:line="360" w:lineRule="auto"/>
        <w:jc w:val="both"/>
        <w:rPr>
          <w:rFonts w:ascii="Times New Roman" w:hAnsi="Times New Roman" w:cs="Times New Roman"/>
          <w:sz w:val="24"/>
          <w:szCs w:val="24"/>
        </w:rPr>
      </w:pPr>
      <w:r w:rsidRPr="009F1584">
        <w:rPr>
          <w:rFonts w:ascii="Times New Roman" w:hAnsi="Times New Roman" w:cs="Times New Roman"/>
          <w:sz w:val="24"/>
          <w:szCs w:val="24"/>
        </w:rPr>
        <w:t xml:space="preserve">The Purchasing Power Parity (PPP) theory and the International Fisher Effect (IFE) are both fundamental concepts in international economics, yet they approach currency valuation and exchange rates from different angles. While PPP focuses on the relationship between price levels and exchange rates, the IFE </w:t>
      </w:r>
      <w:proofErr w:type="spellStart"/>
      <w:r w:rsidRPr="009F1584">
        <w:rPr>
          <w:rFonts w:ascii="Times New Roman" w:hAnsi="Times New Roman" w:cs="Times New Roman"/>
          <w:sz w:val="24"/>
          <w:szCs w:val="24"/>
        </w:rPr>
        <w:t>centers</w:t>
      </w:r>
      <w:proofErr w:type="spellEnd"/>
      <w:r w:rsidRPr="009F1584">
        <w:rPr>
          <w:rFonts w:ascii="Times New Roman" w:hAnsi="Times New Roman" w:cs="Times New Roman"/>
          <w:sz w:val="24"/>
          <w:szCs w:val="24"/>
        </w:rPr>
        <w:t xml:space="preserve"> on interest rates and their impact on expected currency movements. Understanding their distinctions is crucial for comprehending currency dynamics and investment strategies in the global market.</w:t>
      </w:r>
    </w:p>
    <w:p w14:paraId="67CA8F20" w14:textId="77777777" w:rsidR="009F1584" w:rsidRDefault="009F1584" w:rsidP="00302632">
      <w:pPr>
        <w:spacing w:line="360" w:lineRule="auto"/>
        <w:jc w:val="both"/>
        <w:rPr>
          <w:rFonts w:ascii="Times New Roman" w:hAnsi="Times New Roman" w:cs="Times New Roman"/>
          <w:sz w:val="24"/>
          <w:szCs w:val="24"/>
        </w:rPr>
      </w:pPr>
    </w:p>
    <w:p w14:paraId="4EBCAA3F" w14:textId="77777777" w:rsidR="00DD7F5F" w:rsidRPr="00FF5F02" w:rsidRDefault="00DD7F5F" w:rsidP="00DD7F5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6DC2022" w14:textId="77777777" w:rsidR="00DD7F5F" w:rsidRPr="00FF5F02" w:rsidRDefault="00DD7F5F" w:rsidP="00DD7F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5C98BBF" w14:textId="77777777" w:rsidR="00DD7F5F" w:rsidRPr="00FF5F02" w:rsidRDefault="00DD7F5F" w:rsidP="00DD7F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002FE99" w14:textId="77777777" w:rsidR="00DD7F5F" w:rsidRPr="00FF5F02" w:rsidRDefault="00DD7F5F" w:rsidP="00DD7F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DEDEFBF" w14:textId="77777777" w:rsidR="00DD7F5F" w:rsidRPr="00FF5F02" w:rsidRDefault="00DD7F5F" w:rsidP="00DD7F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C136D1F" w14:textId="77777777" w:rsidR="00DD7F5F" w:rsidRPr="00FF5F02" w:rsidRDefault="00DD7F5F" w:rsidP="00DD7F5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04E05F7" w14:textId="77777777" w:rsidR="00DD7F5F" w:rsidRPr="00D20F89" w:rsidRDefault="00DD7F5F" w:rsidP="00DD7F5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F73DBE9" w14:textId="77777777" w:rsidR="009F1584" w:rsidRDefault="009F1584" w:rsidP="00302632">
      <w:pPr>
        <w:spacing w:line="360" w:lineRule="auto"/>
        <w:jc w:val="both"/>
        <w:rPr>
          <w:rFonts w:ascii="Times New Roman" w:hAnsi="Times New Roman" w:cs="Times New Roman"/>
          <w:sz w:val="24"/>
          <w:szCs w:val="24"/>
        </w:rPr>
      </w:pPr>
    </w:p>
    <w:p w14:paraId="3A7FB077" w14:textId="289E3A87" w:rsidR="002B5A6B" w:rsidRPr="00DD7F5F" w:rsidRDefault="004F45C4" w:rsidP="00302632">
      <w:pPr>
        <w:spacing w:line="360" w:lineRule="auto"/>
        <w:jc w:val="both"/>
        <w:rPr>
          <w:rFonts w:ascii="Times New Roman" w:hAnsi="Times New Roman" w:cs="Times New Roman"/>
          <w:b/>
          <w:bCs/>
          <w:sz w:val="24"/>
          <w:szCs w:val="24"/>
        </w:rPr>
      </w:pPr>
      <w:r w:rsidRPr="00DD7F5F">
        <w:rPr>
          <w:rFonts w:ascii="Times New Roman" w:hAnsi="Times New Roman" w:cs="Times New Roman"/>
          <w:b/>
          <w:bCs/>
          <w:sz w:val="24"/>
          <w:szCs w:val="24"/>
        </w:rPr>
        <w:t>3b. NRI’s and most of Foreign Banks while doing recurrent Global Banking Transactions In between Domestic &amp; Global Countries, they usually rely upon NOSTRO Account.  Explain Nostro Account Fundamental Importance in Global Banking.</w:t>
      </w:r>
    </w:p>
    <w:p w14:paraId="5E95E709" w14:textId="77777777" w:rsidR="00DC2D1E" w:rsidRPr="00DC2D1E" w:rsidRDefault="00DC2D1E" w:rsidP="00DC2D1E">
      <w:pPr>
        <w:spacing w:line="360" w:lineRule="auto"/>
        <w:jc w:val="both"/>
        <w:rPr>
          <w:rFonts w:ascii="Times New Roman" w:hAnsi="Times New Roman" w:cs="Times New Roman"/>
          <w:b/>
          <w:bCs/>
          <w:sz w:val="24"/>
          <w:szCs w:val="24"/>
        </w:rPr>
      </w:pPr>
      <w:r w:rsidRPr="00DC2D1E">
        <w:rPr>
          <w:rFonts w:ascii="Times New Roman" w:hAnsi="Times New Roman" w:cs="Times New Roman"/>
          <w:b/>
          <w:bCs/>
          <w:sz w:val="24"/>
          <w:szCs w:val="24"/>
        </w:rPr>
        <w:t>Answer:</w:t>
      </w:r>
    </w:p>
    <w:p w14:paraId="52F6719F" w14:textId="37CD26E0" w:rsidR="00DC2D1E" w:rsidRDefault="00DC2D1E" w:rsidP="00DC2D1E">
      <w:pPr>
        <w:spacing w:line="360" w:lineRule="auto"/>
        <w:jc w:val="both"/>
        <w:rPr>
          <w:rFonts w:ascii="Times New Roman" w:hAnsi="Times New Roman" w:cs="Times New Roman"/>
          <w:sz w:val="24"/>
          <w:szCs w:val="24"/>
        </w:rPr>
      </w:pPr>
      <w:r w:rsidRPr="00DC2D1E">
        <w:rPr>
          <w:rFonts w:ascii="Times New Roman" w:hAnsi="Times New Roman" w:cs="Times New Roman"/>
          <w:b/>
          <w:bCs/>
          <w:sz w:val="24"/>
          <w:szCs w:val="24"/>
          <w:u w:val="single"/>
        </w:rPr>
        <w:t>Introduction</w:t>
      </w:r>
      <w:r w:rsidRPr="00DC2D1E">
        <w:rPr>
          <w:rFonts w:ascii="Times New Roman" w:hAnsi="Times New Roman" w:cs="Times New Roman"/>
          <w:b/>
          <w:bCs/>
          <w:sz w:val="24"/>
          <w:szCs w:val="24"/>
        </w:rPr>
        <w:t>:</w:t>
      </w:r>
    </w:p>
    <w:p w14:paraId="4C867DD3" w14:textId="02AC4390" w:rsidR="00DC2D1E" w:rsidRDefault="009F1584" w:rsidP="00302632">
      <w:pPr>
        <w:spacing w:line="360" w:lineRule="auto"/>
        <w:jc w:val="both"/>
        <w:rPr>
          <w:rFonts w:ascii="Times New Roman" w:hAnsi="Times New Roman" w:cs="Times New Roman"/>
          <w:sz w:val="24"/>
          <w:szCs w:val="24"/>
        </w:rPr>
      </w:pPr>
      <w:r w:rsidRPr="009F1584">
        <w:rPr>
          <w:rFonts w:ascii="Times New Roman" w:hAnsi="Times New Roman" w:cs="Times New Roman"/>
          <w:sz w:val="24"/>
          <w:szCs w:val="24"/>
        </w:rPr>
        <w:t>Nostro accounts play a crucial role in facilitating international banking transactions by providing a reliable mechanism for foreign currency transactions between banks. These accounts, held by a bank in one country at a correspondent bank in another, enable seamless settlements of payments and receipts. Understanding the fundamental importance of Nostro accounts is essential for grasping how banks manage liquidity, reduce currency risk, and enhance the efficiency of cross-border transactions in a globalized economy.</w:t>
      </w:r>
    </w:p>
    <w:p w14:paraId="515377E2" w14:textId="77777777" w:rsidR="009F1584" w:rsidRDefault="009F1584" w:rsidP="00302632">
      <w:pPr>
        <w:spacing w:line="360" w:lineRule="auto"/>
        <w:jc w:val="both"/>
        <w:rPr>
          <w:rFonts w:ascii="Times New Roman" w:hAnsi="Times New Roman" w:cs="Times New Roman"/>
          <w:sz w:val="24"/>
          <w:szCs w:val="24"/>
        </w:rPr>
      </w:pPr>
    </w:p>
    <w:p w14:paraId="31D2330A" w14:textId="77777777" w:rsidR="00DD7F5F" w:rsidRPr="00FF5F02" w:rsidRDefault="00DD7F5F" w:rsidP="00DD7F5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7FCDAA0" w14:textId="77777777" w:rsidR="00DD7F5F" w:rsidRPr="00FF5F02" w:rsidRDefault="00DD7F5F" w:rsidP="00DD7F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A5C1DB7" w14:textId="77777777" w:rsidR="00DD7F5F" w:rsidRPr="00FF5F02" w:rsidRDefault="00DD7F5F" w:rsidP="00DD7F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AECDD67" w14:textId="77777777" w:rsidR="00DD7F5F" w:rsidRPr="00FF5F02" w:rsidRDefault="00DD7F5F" w:rsidP="00DD7F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BF6B626" w14:textId="77777777" w:rsidR="00DD7F5F" w:rsidRPr="00FF5F02" w:rsidRDefault="00DD7F5F" w:rsidP="00DD7F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2B6A1D9" w14:textId="77777777" w:rsidR="00DD7F5F" w:rsidRPr="00FF5F02" w:rsidRDefault="00DD7F5F" w:rsidP="00DD7F5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36BFE11" w14:textId="77777777" w:rsidR="00DD7F5F" w:rsidRPr="00D20F89" w:rsidRDefault="00DD7F5F" w:rsidP="00DD7F5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7E2E4210" w14:textId="77777777" w:rsidR="00DC2D1E" w:rsidRDefault="00DC2D1E" w:rsidP="00302632">
      <w:pPr>
        <w:spacing w:line="360" w:lineRule="auto"/>
        <w:jc w:val="both"/>
        <w:rPr>
          <w:rFonts w:ascii="Times New Roman" w:hAnsi="Times New Roman" w:cs="Times New Roman"/>
          <w:sz w:val="24"/>
          <w:szCs w:val="24"/>
        </w:rPr>
      </w:pPr>
    </w:p>
    <w:p w14:paraId="59ABA41C" w14:textId="77777777" w:rsidR="004F45C4" w:rsidRPr="004F45C4" w:rsidRDefault="004F45C4" w:rsidP="00302632">
      <w:pPr>
        <w:spacing w:line="360" w:lineRule="auto"/>
        <w:jc w:val="both"/>
        <w:rPr>
          <w:rFonts w:ascii="Times New Roman" w:hAnsi="Times New Roman" w:cs="Times New Roman"/>
          <w:sz w:val="24"/>
          <w:szCs w:val="24"/>
        </w:rPr>
      </w:pPr>
    </w:p>
    <w:sectPr w:rsidR="004F45C4" w:rsidRPr="004F45C4" w:rsidSect="0030263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C4"/>
    <w:rsid w:val="00171F07"/>
    <w:rsid w:val="001F6B1A"/>
    <w:rsid w:val="00261E90"/>
    <w:rsid w:val="002B5A6B"/>
    <w:rsid w:val="00302632"/>
    <w:rsid w:val="003B59D5"/>
    <w:rsid w:val="004C5345"/>
    <w:rsid w:val="004F45C4"/>
    <w:rsid w:val="00533E2B"/>
    <w:rsid w:val="0084217A"/>
    <w:rsid w:val="008A3539"/>
    <w:rsid w:val="008A50FB"/>
    <w:rsid w:val="008D1260"/>
    <w:rsid w:val="008D4BCC"/>
    <w:rsid w:val="009B4D78"/>
    <w:rsid w:val="009F1584"/>
    <w:rsid w:val="00AD0316"/>
    <w:rsid w:val="00B071E9"/>
    <w:rsid w:val="00B32C6E"/>
    <w:rsid w:val="00BE6F6D"/>
    <w:rsid w:val="00C371E8"/>
    <w:rsid w:val="00C60BCB"/>
    <w:rsid w:val="00DC2D1E"/>
    <w:rsid w:val="00DD7F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D7F2"/>
  <w15:chartTrackingRefBased/>
  <w15:docId w15:val="{B57074C2-1FC4-4106-A134-05517BAE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D1E"/>
    <w:pPr>
      <w:ind w:left="720"/>
      <w:contextualSpacing/>
    </w:pPr>
  </w:style>
  <w:style w:type="character" w:styleId="Hyperlink">
    <w:name w:val="Hyperlink"/>
    <w:basedOn w:val="DefaultParagraphFont"/>
    <w:uiPriority w:val="99"/>
    <w:unhideWhenUsed/>
    <w:rsid w:val="00DD7F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985</Words>
  <Characters>5615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8</cp:revision>
  <dcterms:created xsi:type="dcterms:W3CDTF">2024-10-16T08:02:00Z</dcterms:created>
  <dcterms:modified xsi:type="dcterms:W3CDTF">2024-10-16T08:41:00Z</dcterms:modified>
</cp:coreProperties>
</file>