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8210" w14:textId="77777777" w:rsidR="0062708F" w:rsidRPr="0062708F" w:rsidRDefault="0062708F" w:rsidP="00EF4F79">
      <w:pPr>
        <w:spacing w:line="360" w:lineRule="auto"/>
        <w:jc w:val="center"/>
        <w:rPr>
          <w:rFonts w:ascii="Times New Roman" w:hAnsi="Times New Roman" w:cs="Times New Roman"/>
          <w:b/>
          <w:bCs/>
          <w:sz w:val="24"/>
          <w:szCs w:val="24"/>
          <w:u w:val="single"/>
        </w:rPr>
      </w:pPr>
      <w:r w:rsidRPr="0062708F">
        <w:rPr>
          <w:rFonts w:ascii="Times New Roman" w:hAnsi="Times New Roman" w:cs="Times New Roman"/>
          <w:b/>
          <w:bCs/>
          <w:sz w:val="24"/>
          <w:szCs w:val="24"/>
          <w:u w:val="single"/>
        </w:rPr>
        <w:t>Marketing of Financial Services</w:t>
      </w:r>
    </w:p>
    <w:p w14:paraId="57957E70" w14:textId="77777777" w:rsidR="00AB28EA" w:rsidRDefault="00AB28EA" w:rsidP="00AB28E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CE93745" w14:textId="21904EC5" w:rsidR="003F492B" w:rsidRPr="00AB28EA" w:rsidRDefault="0062708F" w:rsidP="00EF4F79">
      <w:pPr>
        <w:spacing w:line="360" w:lineRule="auto"/>
        <w:jc w:val="both"/>
        <w:rPr>
          <w:rFonts w:ascii="Times New Roman" w:hAnsi="Times New Roman" w:cs="Times New Roman"/>
          <w:b/>
          <w:bCs/>
          <w:sz w:val="24"/>
          <w:szCs w:val="24"/>
        </w:rPr>
      </w:pPr>
      <w:r w:rsidRPr="00AB28EA">
        <w:rPr>
          <w:rFonts w:ascii="Times New Roman" w:hAnsi="Times New Roman" w:cs="Times New Roman"/>
          <w:b/>
          <w:bCs/>
          <w:sz w:val="24"/>
          <w:szCs w:val="24"/>
        </w:rPr>
        <w:t xml:space="preserve">Q1. A Finance Head (CFO) of Finance Company is deeply </w:t>
      </w:r>
      <w:proofErr w:type="spellStart"/>
      <w:r w:rsidRPr="00AB28EA">
        <w:rPr>
          <w:rFonts w:ascii="Times New Roman" w:hAnsi="Times New Roman" w:cs="Times New Roman"/>
          <w:b/>
          <w:bCs/>
          <w:sz w:val="24"/>
          <w:szCs w:val="24"/>
        </w:rPr>
        <w:t>analyzing</w:t>
      </w:r>
      <w:proofErr w:type="spellEnd"/>
      <w:r w:rsidRPr="00AB28EA">
        <w:rPr>
          <w:rFonts w:ascii="Times New Roman" w:hAnsi="Times New Roman" w:cs="Times New Roman"/>
          <w:b/>
          <w:bCs/>
          <w:sz w:val="24"/>
          <w:szCs w:val="24"/>
        </w:rPr>
        <w:t xml:space="preserve"> the criticalities of outside Market environment from Customer point of view. While </w:t>
      </w:r>
      <w:proofErr w:type="spellStart"/>
      <w:r w:rsidRPr="00AB28EA">
        <w:rPr>
          <w:rFonts w:ascii="Times New Roman" w:hAnsi="Times New Roman" w:cs="Times New Roman"/>
          <w:b/>
          <w:bCs/>
          <w:sz w:val="24"/>
          <w:szCs w:val="24"/>
        </w:rPr>
        <w:t>analyzing</w:t>
      </w:r>
      <w:proofErr w:type="spellEnd"/>
      <w:r w:rsidRPr="00AB28EA">
        <w:rPr>
          <w:rFonts w:ascii="Times New Roman" w:hAnsi="Times New Roman" w:cs="Times New Roman"/>
          <w:b/>
          <w:bCs/>
          <w:sz w:val="24"/>
          <w:szCs w:val="24"/>
        </w:rPr>
        <w:t xml:space="preserve"> Consumer Choices for Financial Services, how CFO &amp; his team can demarcate the ‘Non- Controllable’ Consumer Choices in rendering of Financial Services? Kindly elaborate.</w:t>
      </w:r>
    </w:p>
    <w:p w14:paraId="0641BA93" w14:textId="2FE15E8B" w:rsidR="00FD4BDB" w:rsidRPr="00FD4BDB" w:rsidRDefault="00FD4BDB" w:rsidP="00EF4F79">
      <w:pPr>
        <w:spacing w:line="360" w:lineRule="auto"/>
        <w:jc w:val="both"/>
        <w:rPr>
          <w:rFonts w:ascii="Times New Roman" w:hAnsi="Times New Roman" w:cs="Times New Roman"/>
          <w:b/>
          <w:bCs/>
          <w:sz w:val="24"/>
          <w:szCs w:val="24"/>
        </w:rPr>
      </w:pPr>
      <w:r w:rsidRPr="00FD4BDB">
        <w:rPr>
          <w:rFonts w:ascii="Times New Roman" w:hAnsi="Times New Roman" w:cs="Times New Roman"/>
          <w:b/>
          <w:bCs/>
          <w:sz w:val="24"/>
          <w:szCs w:val="24"/>
        </w:rPr>
        <w:t>Answer:</w:t>
      </w:r>
    </w:p>
    <w:p w14:paraId="0F411E6C" w14:textId="794C8D61" w:rsidR="00FD4BDB" w:rsidRPr="00FD4BDB" w:rsidRDefault="00FD4BDB" w:rsidP="00EF4F79">
      <w:pPr>
        <w:spacing w:line="360" w:lineRule="auto"/>
        <w:jc w:val="both"/>
        <w:rPr>
          <w:rFonts w:ascii="Times New Roman" w:hAnsi="Times New Roman" w:cs="Times New Roman"/>
          <w:b/>
          <w:bCs/>
          <w:sz w:val="24"/>
          <w:szCs w:val="24"/>
        </w:rPr>
      </w:pPr>
      <w:r w:rsidRPr="00FD4BDB">
        <w:rPr>
          <w:rFonts w:ascii="Times New Roman" w:hAnsi="Times New Roman" w:cs="Times New Roman"/>
          <w:b/>
          <w:bCs/>
          <w:sz w:val="24"/>
          <w:szCs w:val="24"/>
          <w:u w:val="single"/>
        </w:rPr>
        <w:t>Introduction</w:t>
      </w:r>
      <w:r w:rsidRPr="00FD4BDB">
        <w:rPr>
          <w:rFonts w:ascii="Times New Roman" w:hAnsi="Times New Roman" w:cs="Times New Roman"/>
          <w:b/>
          <w:bCs/>
          <w:sz w:val="24"/>
          <w:szCs w:val="24"/>
        </w:rPr>
        <w:t>:</w:t>
      </w:r>
    </w:p>
    <w:p w14:paraId="7E40BF73" w14:textId="74301CA2" w:rsidR="00FD4BDB" w:rsidRDefault="00AB16D6" w:rsidP="00EF4F79">
      <w:pPr>
        <w:spacing w:line="360" w:lineRule="auto"/>
        <w:jc w:val="both"/>
        <w:rPr>
          <w:rFonts w:ascii="Times New Roman" w:hAnsi="Times New Roman" w:cs="Times New Roman"/>
          <w:sz w:val="24"/>
          <w:szCs w:val="24"/>
        </w:rPr>
      </w:pPr>
      <w:r w:rsidRPr="00AB16D6">
        <w:rPr>
          <w:rFonts w:ascii="Times New Roman" w:hAnsi="Times New Roman" w:cs="Times New Roman"/>
          <w:sz w:val="24"/>
          <w:szCs w:val="24"/>
        </w:rPr>
        <w:t xml:space="preserve">In today's dynamic financial landscape, understanding consumer choices is crucial for the strategic direction of any finance company. The Chief Financial Officer (CFO) and their team play a pivotal role in </w:t>
      </w:r>
      <w:proofErr w:type="spellStart"/>
      <w:r w:rsidRPr="00AB16D6">
        <w:rPr>
          <w:rFonts w:ascii="Times New Roman" w:hAnsi="Times New Roman" w:cs="Times New Roman"/>
          <w:sz w:val="24"/>
          <w:szCs w:val="24"/>
        </w:rPr>
        <w:t>analyzing</w:t>
      </w:r>
      <w:proofErr w:type="spellEnd"/>
      <w:r w:rsidRPr="00AB16D6">
        <w:rPr>
          <w:rFonts w:ascii="Times New Roman" w:hAnsi="Times New Roman" w:cs="Times New Roman"/>
          <w:sz w:val="24"/>
          <w:szCs w:val="24"/>
        </w:rPr>
        <w:t xml:space="preserve"> these consumer choices, particularly from the perspective of the external market environment. While many factors influencing consumer decisions can be controlled through marketing strategies and service offerings, there exists a subset known as "non-controllable" consumer choices. These factors are shaped by external conditions beyond the company's influence, such as economic trends, regulatory changes, technological advancements, and societal </w:t>
      </w:r>
      <w:proofErr w:type="spellStart"/>
      <w:r w:rsidRPr="00AB16D6">
        <w:rPr>
          <w:rFonts w:ascii="Times New Roman" w:hAnsi="Times New Roman" w:cs="Times New Roman"/>
          <w:sz w:val="24"/>
          <w:szCs w:val="24"/>
        </w:rPr>
        <w:t>behaviors</w:t>
      </w:r>
      <w:proofErr w:type="spellEnd"/>
      <w:r w:rsidRPr="00AB16D6">
        <w:rPr>
          <w:rFonts w:ascii="Times New Roman" w:hAnsi="Times New Roman" w:cs="Times New Roman"/>
          <w:sz w:val="24"/>
          <w:szCs w:val="24"/>
        </w:rPr>
        <w:t xml:space="preserve">. By identifying and </w:t>
      </w:r>
      <w:proofErr w:type="spellStart"/>
      <w:r w:rsidRPr="00AB16D6">
        <w:rPr>
          <w:rFonts w:ascii="Times New Roman" w:hAnsi="Times New Roman" w:cs="Times New Roman"/>
          <w:sz w:val="24"/>
          <w:szCs w:val="24"/>
        </w:rPr>
        <w:t>analyzing</w:t>
      </w:r>
      <w:proofErr w:type="spellEnd"/>
      <w:r w:rsidRPr="00AB16D6">
        <w:rPr>
          <w:rFonts w:ascii="Times New Roman" w:hAnsi="Times New Roman" w:cs="Times New Roman"/>
          <w:sz w:val="24"/>
          <w:szCs w:val="24"/>
        </w:rPr>
        <w:t xml:space="preserve"> these non-controllable factors, the CFO can develop robust strategies that account for unpredictable market fluctuations, thereby enhancing the company's resilience and adaptability in delivering financial services that align with consumer expectations.</w:t>
      </w:r>
    </w:p>
    <w:p w14:paraId="283A7F96" w14:textId="77777777" w:rsidR="00517F16" w:rsidRDefault="00517F16" w:rsidP="00EF4F79">
      <w:pPr>
        <w:spacing w:line="360" w:lineRule="auto"/>
        <w:jc w:val="both"/>
        <w:rPr>
          <w:rFonts w:ascii="Times New Roman" w:hAnsi="Times New Roman" w:cs="Times New Roman"/>
          <w:sz w:val="24"/>
          <w:szCs w:val="24"/>
        </w:rPr>
      </w:pPr>
    </w:p>
    <w:p w14:paraId="20CCCEAA" w14:textId="77777777" w:rsidR="00AB28EA" w:rsidRPr="00FF5F02" w:rsidRDefault="00AB28EA" w:rsidP="00AB28E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C2106E7"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A12C022"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C61A7B3"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96B6594"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824B9A8" w14:textId="77777777" w:rsidR="00AB28EA" w:rsidRPr="00FF5F02" w:rsidRDefault="00AB28EA" w:rsidP="00AB28E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3F3222D" w14:textId="77777777" w:rsidR="00AB28EA" w:rsidRPr="00D20F89" w:rsidRDefault="00AB28EA" w:rsidP="00AB28E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0FF728C" w14:textId="77777777" w:rsidR="00FD4BDB" w:rsidRDefault="00FD4BDB" w:rsidP="00EF4F79">
      <w:pPr>
        <w:spacing w:line="360" w:lineRule="auto"/>
        <w:jc w:val="both"/>
        <w:rPr>
          <w:rFonts w:ascii="Times New Roman" w:hAnsi="Times New Roman" w:cs="Times New Roman"/>
          <w:sz w:val="24"/>
          <w:szCs w:val="24"/>
        </w:rPr>
      </w:pPr>
    </w:p>
    <w:p w14:paraId="5EDD146E" w14:textId="1CAF51FE" w:rsidR="0062708F" w:rsidRPr="00AB28EA" w:rsidRDefault="0062708F" w:rsidP="00EF4F79">
      <w:pPr>
        <w:spacing w:line="360" w:lineRule="auto"/>
        <w:jc w:val="both"/>
        <w:rPr>
          <w:rFonts w:ascii="Times New Roman" w:hAnsi="Times New Roman" w:cs="Times New Roman"/>
          <w:b/>
          <w:bCs/>
          <w:sz w:val="24"/>
          <w:szCs w:val="24"/>
        </w:rPr>
      </w:pPr>
      <w:r w:rsidRPr="00AB28EA">
        <w:rPr>
          <w:rFonts w:ascii="Times New Roman" w:hAnsi="Times New Roman" w:cs="Times New Roman"/>
          <w:b/>
          <w:bCs/>
          <w:sz w:val="24"/>
          <w:szCs w:val="24"/>
        </w:rPr>
        <w:t>Q2. A 60-year-old senior citizen, recently retired from a GM position at an MNC, has received a substantial retirement corpus. Seeking to ensure a comfortable and secure post- retirement life, he approaches an investment planning firm for guidance. What guidelines should the Firm’s Investment Advisor follow in developing a retirement plan for this individual?</w:t>
      </w:r>
    </w:p>
    <w:p w14:paraId="3920F4DB" w14:textId="77777777" w:rsidR="00FD4BDB" w:rsidRPr="00FD4BDB" w:rsidRDefault="00FD4BDB" w:rsidP="00FD4BDB">
      <w:pPr>
        <w:spacing w:line="360" w:lineRule="auto"/>
        <w:jc w:val="both"/>
        <w:rPr>
          <w:rFonts w:ascii="Times New Roman" w:hAnsi="Times New Roman" w:cs="Times New Roman"/>
          <w:b/>
          <w:bCs/>
          <w:sz w:val="24"/>
          <w:szCs w:val="24"/>
        </w:rPr>
      </w:pPr>
      <w:r w:rsidRPr="00FD4BDB">
        <w:rPr>
          <w:rFonts w:ascii="Times New Roman" w:hAnsi="Times New Roman" w:cs="Times New Roman"/>
          <w:b/>
          <w:bCs/>
          <w:sz w:val="24"/>
          <w:szCs w:val="24"/>
        </w:rPr>
        <w:t>Answer:</w:t>
      </w:r>
    </w:p>
    <w:p w14:paraId="0FA102D9" w14:textId="405E39AB" w:rsidR="00FD4BDB" w:rsidRDefault="00FD4BDB" w:rsidP="00FD4BDB">
      <w:pPr>
        <w:spacing w:line="360" w:lineRule="auto"/>
        <w:jc w:val="both"/>
        <w:rPr>
          <w:rFonts w:ascii="Times New Roman" w:hAnsi="Times New Roman" w:cs="Times New Roman"/>
          <w:sz w:val="24"/>
          <w:szCs w:val="24"/>
        </w:rPr>
      </w:pPr>
      <w:r w:rsidRPr="00FD4BDB">
        <w:rPr>
          <w:rFonts w:ascii="Times New Roman" w:hAnsi="Times New Roman" w:cs="Times New Roman"/>
          <w:b/>
          <w:bCs/>
          <w:sz w:val="24"/>
          <w:szCs w:val="24"/>
          <w:u w:val="single"/>
        </w:rPr>
        <w:t>Introduction</w:t>
      </w:r>
      <w:r w:rsidRPr="00FD4BDB">
        <w:rPr>
          <w:rFonts w:ascii="Times New Roman" w:hAnsi="Times New Roman" w:cs="Times New Roman"/>
          <w:b/>
          <w:bCs/>
          <w:sz w:val="24"/>
          <w:szCs w:val="24"/>
        </w:rPr>
        <w:t>:</w:t>
      </w:r>
    </w:p>
    <w:p w14:paraId="526CF5DD" w14:textId="1AF7112A" w:rsidR="00FD4BDB" w:rsidRDefault="00517F16" w:rsidP="00EF4F79">
      <w:pPr>
        <w:spacing w:line="360" w:lineRule="auto"/>
        <w:jc w:val="both"/>
        <w:rPr>
          <w:rFonts w:ascii="Times New Roman" w:hAnsi="Times New Roman" w:cs="Times New Roman"/>
          <w:sz w:val="24"/>
          <w:szCs w:val="24"/>
        </w:rPr>
      </w:pPr>
      <w:r w:rsidRPr="00517F16">
        <w:rPr>
          <w:rFonts w:ascii="Times New Roman" w:hAnsi="Times New Roman" w:cs="Times New Roman"/>
          <w:sz w:val="24"/>
          <w:szCs w:val="24"/>
        </w:rPr>
        <w:t>As individuals transition into retirement, the importance of a well-structured investment plan becomes paramount, especially for those like a 60-year-old retiree from a senior management position in a multinational corporation. With a substantial retirement corpus at his disposal, the primary objective is to ensure financial stability and security during his post-retirement years. This stage of life often requires a strategic approach to investment, balancing income needs with risk management and long-term growth. An investment advisor plays a crucial role in this process, guiding the retiree through various options tailored to his unique circumstances, including risk tolerance, financial goals, and lifestyle aspirations. By following structured guidelines, the advisor can develop a comprehensive retirement plan that aligns with the retiree's vision for a comfortable and fulfilling life after work.</w:t>
      </w:r>
    </w:p>
    <w:p w14:paraId="072407C3" w14:textId="77777777" w:rsidR="00517F16" w:rsidRDefault="00517F16" w:rsidP="00EF4F79">
      <w:pPr>
        <w:spacing w:line="360" w:lineRule="auto"/>
        <w:jc w:val="both"/>
        <w:rPr>
          <w:rFonts w:ascii="Times New Roman" w:hAnsi="Times New Roman" w:cs="Times New Roman"/>
          <w:sz w:val="24"/>
          <w:szCs w:val="24"/>
        </w:rPr>
      </w:pPr>
    </w:p>
    <w:p w14:paraId="52412968" w14:textId="77777777" w:rsidR="00AB28EA" w:rsidRPr="00FF5F02" w:rsidRDefault="00AB28EA" w:rsidP="00AB28E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8DE5931"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510818B"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5469C0C"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DD3739"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19C6EC1" w14:textId="77777777" w:rsidR="00AB28EA" w:rsidRPr="00FF5F02" w:rsidRDefault="00AB28EA" w:rsidP="00AB28E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951D546" w14:textId="77777777" w:rsidR="00AB28EA" w:rsidRPr="00D20F89" w:rsidRDefault="00AB28EA" w:rsidP="00AB28E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2861C81" w14:textId="77777777" w:rsidR="003E3520" w:rsidRDefault="003E3520" w:rsidP="00EF4F79">
      <w:pPr>
        <w:spacing w:line="360" w:lineRule="auto"/>
        <w:jc w:val="both"/>
        <w:rPr>
          <w:rFonts w:ascii="Times New Roman" w:hAnsi="Times New Roman" w:cs="Times New Roman"/>
          <w:sz w:val="24"/>
          <w:szCs w:val="24"/>
        </w:rPr>
      </w:pPr>
    </w:p>
    <w:p w14:paraId="370E5A79" w14:textId="01703178" w:rsidR="0062708F" w:rsidRPr="00AB28EA" w:rsidRDefault="0062708F" w:rsidP="00EF4F79">
      <w:pPr>
        <w:spacing w:line="360" w:lineRule="auto"/>
        <w:jc w:val="both"/>
        <w:rPr>
          <w:rFonts w:ascii="Times New Roman" w:hAnsi="Times New Roman" w:cs="Times New Roman"/>
          <w:b/>
          <w:bCs/>
          <w:sz w:val="24"/>
          <w:szCs w:val="24"/>
        </w:rPr>
      </w:pPr>
      <w:r w:rsidRPr="00AB28EA">
        <w:rPr>
          <w:rFonts w:ascii="Times New Roman" w:hAnsi="Times New Roman" w:cs="Times New Roman"/>
          <w:b/>
          <w:bCs/>
          <w:sz w:val="24"/>
          <w:szCs w:val="24"/>
        </w:rPr>
        <w:t>Q3.</w:t>
      </w:r>
      <w:r w:rsidR="00FB0E4B" w:rsidRPr="00AB28EA">
        <w:rPr>
          <w:rFonts w:ascii="Times New Roman" w:hAnsi="Times New Roman" w:cs="Times New Roman"/>
          <w:b/>
          <w:bCs/>
          <w:sz w:val="24"/>
          <w:szCs w:val="24"/>
        </w:rPr>
        <w:t xml:space="preserve"> </w:t>
      </w:r>
      <w:r w:rsidRPr="00AB28EA">
        <w:rPr>
          <w:rFonts w:ascii="Times New Roman" w:hAnsi="Times New Roman" w:cs="Times New Roman"/>
          <w:b/>
          <w:bCs/>
          <w:sz w:val="24"/>
          <w:szCs w:val="24"/>
        </w:rPr>
        <w:t>a) In case if a NBFC is being set up at Town place and planning to render core financial services to young &amp; mid age Crowd (50% population) what they can enlist as most Distinct Characteristics of Financial Services?  Elaborate any 4 to 5 Distinct Financial Services.</w:t>
      </w:r>
    </w:p>
    <w:p w14:paraId="7EBCFD74" w14:textId="77777777" w:rsidR="00FD4BDB" w:rsidRPr="00FD4BDB" w:rsidRDefault="00FD4BDB" w:rsidP="00FD4BDB">
      <w:pPr>
        <w:spacing w:line="360" w:lineRule="auto"/>
        <w:jc w:val="both"/>
        <w:rPr>
          <w:rFonts w:ascii="Times New Roman" w:hAnsi="Times New Roman" w:cs="Times New Roman"/>
          <w:b/>
          <w:bCs/>
          <w:sz w:val="24"/>
          <w:szCs w:val="24"/>
        </w:rPr>
      </w:pPr>
      <w:r w:rsidRPr="00FD4BDB">
        <w:rPr>
          <w:rFonts w:ascii="Times New Roman" w:hAnsi="Times New Roman" w:cs="Times New Roman"/>
          <w:b/>
          <w:bCs/>
          <w:sz w:val="24"/>
          <w:szCs w:val="24"/>
        </w:rPr>
        <w:t>Answer:</w:t>
      </w:r>
    </w:p>
    <w:p w14:paraId="4FD53DAB" w14:textId="33544C9E" w:rsidR="00FD4BDB" w:rsidRDefault="00FD4BDB" w:rsidP="00FD4BDB">
      <w:pPr>
        <w:spacing w:line="360" w:lineRule="auto"/>
        <w:jc w:val="both"/>
        <w:rPr>
          <w:rFonts w:ascii="Times New Roman" w:hAnsi="Times New Roman" w:cs="Times New Roman"/>
          <w:sz w:val="24"/>
          <w:szCs w:val="24"/>
        </w:rPr>
      </w:pPr>
      <w:r w:rsidRPr="00FD4BDB">
        <w:rPr>
          <w:rFonts w:ascii="Times New Roman" w:hAnsi="Times New Roman" w:cs="Times New Roman"/>
          <w:b/>
          <w:bCs/>
          <w:sz w:val="24"/>
          <w:szCs w:val="24"/>
          <w:u w:val="single"/>
        </w:rPr>
        <w:t>Introduction</w:t>
      </w:r>
      <w:r w:rsidRPr="00FD4BDB">
        <w:rPr>
          <w:rFonts w:ascii="Times New Roman" w:hAnsi="Times New Roman" w:cs="Times New Roman"/>
          <w:b/>
          <w:bCs/>
          <w:sz w:val="24"/>
          <w:szCs w:val="24"/>
        </w:rPr>
        <w:t>:</w:t>
      </w:r>
    </w:p>
    <w:p w14:paraId="4CD411D5" w14:textId="38EA4452" w:rsidR="00FD4BDB" w:rsidRDefault="003E3520" w:rsidP="00EF4F79">
      <w:pPr>
        <w:spacing w:line="360" w:lineRule="auto"/>
        <w:jc w:val="both"/>
        <w:rPr>
          <w:rFonts w:ascii="Times New Roman" w:hAnsi="Times New Roman" w:cs="Times New Roman"/>
          <w:sz w:val="24"/>
          <w:szCs w:val="24"/>
        </w:rPr>
      </w:pPr>
      <w:r w:rsidRPr="003E3520">
        <w:rPr>
          <w:rFonts w:ascii="Times New Roman" w:hAnsi="Times New Roman" w:cs="Times New Roman"/>
          <w:sz w:val="24"/>
          <w:szCs w:val="24"/>
        </w:rPr>
        <w:t>As a Non-Banking Financial Company (NBFC) establishes itself in Town Place to cater to the financial needs of a predominantly young and middle-aged population, understanding the distinct characteristics of financial services is crucial. This demographic is often seeking innovative and accessible solutions. By identifying and elaborating on specific financial services that resonate with their target audience, the NBFC can tailor its offerings to meet the unique demands of this vibrant market segment.</w:t>
      </w:r>
    </w:p>
    <w:p w14:paraId="0B93F015" w14:textId="77777777" w:rsidR="003E3520" w:rsidRDefault="003E3520" w:rsidP="00EF4F79">
      <w:pPr>
        <w:spacing w:line="360" w:lineRule="auto"/>
        <w:jc w:val="both"/>
        <w:rPr>
          <w:rFonts w:ascii="Times New Roman" w:hAnsi="Times New Roman" w:cs="Times New Roman"/>
          <w:sz w:val="24"/>
          <w:szCs w:val="24"/>
        </w:rPr>
      </w:pPr>
    </w:p>
    <w:p w14:paraId="7EEA7C45" w14:textId="77777777" w:rsidR="00AB28EA" w:rsidRPr="00FF5F02" w:rsidRDefault="00AB28EA" w:rsidP="00AB28E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AE5749"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F573482"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3F86206A"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965D66"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E89D231" w14:textId="77777777" w:rsidR="00AB28EA" w:rsidRPr="00FF5F02" w:rsidRDefault="00AB28EA" w:rsidP="00AB28E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518E3A" w14:textId="77777777" w:rsidR="00AB28EA" w:rsidRPr="00D20F89" w:rsidRDefault="00AB28EA" w:rsidP="00AB28E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78A47A0" w14:textId="77777777" w:rsidR="00AB28EA" w:rsidRDefault="00AB28EA" w:rsidP="00EF4F79">
      <w:pPr>
        <w:spacing w:line="360" w:lineRule="auto"/>
        <w:jc w:val="both"/>
        <w:rPr>
          <w:rFonts w:ascii="Times New Roman" w:hAnsi="Times New Roman" w:cs="Times New Roman"/>
          <w:sz w:val="24"/>
          <w:szCs w:val="24"/>
        </w:rPr>
      </w:pPr>
    </w:p>
    <w:p w14:paraId="6DA42D39" w14:textId="77777777" w:rsidR="003E3520" w:rsidRDefault="003E3520" w:rsidP="00EF4F79">
      <w:pPr>
        <w:spacing w:line="360" w:lineRule="auto"/>
        <w:jc w:val="both"/>
        <w:rPr>
          <w:rFonts w:ascii="Times New Roman" w:hAnsi="Times New Roman" w:cs="Times New Roman"/>
          <w:sz w:val="24"/>
          <w:szCs w:val="24"/>
        </w:rPr>
      </w:pPr>
    </w:p>
    <w:p w14:paraId="11C20851" w14:textId="0F454DEB" w:rsidR="0062708F" w:rsidRPr="00AB28EA" w:rsidRDefault="0062708F" w:rsidP="00EF4F79">
      <w:pPr>
        <w:spacing w:line="360" w:lineRule="auto"/>
        <w:jc w:val="both"/>
        <w:rPr>
          <w:rFonts w:ascii="Times New Roman" w:hAnsi="Times New Roman" w:cs="Times New Roman"/>
          <w:b/>
          <w:bCs/>
          <w:sz w:val="24"/>
          <w:szCs w:val="24"/>
        </w:rPr>
      </w:pPr>
      <w:r w:rsidRPr="00AB28EA">
        <w:rPr>
          <w:rFonts w:ascii="Times New Roman" w:hAnsi="Times New Roman" w:cs="Times New Roman"/>
          <w:b/>
          <w:bCs/>
          <w:sz w:val="24"/>
          <w:szCs w:val="24"/>
        </w:rPr>
        <w:t>Q3.</w:t>
      </w:r>
      <w:r w:rsidR="00FB0E4B" w:rsidRPr="00AB28EA">
        <w:rPr>
          <w:rFonts w:ascii="Times New Roman" w:hAnsi="Times New Roman" w:cs="Times New Roman"/>
          <w:b/>
          <w:bCs/>
          <w:sz w:val="24"/>
          <w:szCs w:val="24"/>
        </w:rPr>
        <w:t xml:space="preserve"> </w:t>
      </w:r>
      <w:r w:rsidRPr="00AB28EA">
        <w:rPr>
          <w:rFonts w:ascii="Times New Roman" w:hAnsi="Times New Roman" w:cs="Times New Roman"/>
          <w:b/>
          <w:bCs/>
          <w:sz w:val="24"/>
          <w:szCs w:val="24"/>
        </w:rPr>
        <w:t>b)</w:t>
      </w:r>
      <w:r w:rsidR="00FB0E4B" w:rsidRPr="00AB28EA">
        <w:rPr>
          <w:rFonts w:ascii="Times New Roman" w:hAnsi="Times New Roman" w:cs="Times New Roman"/>
          <w:b/>
          <w:bCs/>
          <w:sz w:val="24"/>
          <w:szCs w:val="24"/>
        </w:rPr>
        <w:t xml:space="preserve"> </w:t>
      </w:r>
      <w:r w:rsidRPr="00AB28EA">
        <w:rPr>
          <w:rFonts w:ascii="Times New Roman" w:hAnsi="Times New Roman" w:cs="Times New Roman"/>
          <w:b/>
          <w:bCs/>
          <w:sz w:val="24"/>
          <w:szCs w:val="24"/>
        </w:rPr>
        <w:t>How a Bank Manager foresee their Customers Important Choices while availing different types of Banking Services? Explain Paradigm as Internal Factors.</w:t>
      </w:r>
    </w:p>
    <w:p w14:paraId="2654C6E3" w14:textId="77777777" w:rsidR="00FD4BDB" w:rsidRPr="00FD4BDB" w:rsidRDefault="00FD4BDB" w:rsidP="00FD4BDB">
      <w:pPr>
        <w:spacing w:line="360" w:lineRule="auto"/>
        <w:jc w:val="both"/>
        <w:rPr>
          <w:rFonts w:ascii="Times New Roman" w:hAnsi="Times New Roman" w:cs="Times New Roman"/>
          <w:b/>
          <w:bCs/>
          <w:sz w:val="24"/>
          <w:szCs w:val="24"/>
        </w:rPr>
      </w:pPr>
      <w:r w:rsidRPr="00FD4BDB">
        <w:rPr>
          <w:rFonts w:ascii="Times New Roman" w:hAnsi="Times New Roman" w:cs="Times New Roman"/>
          <w:b/>
          <w:bCs/>
          <w:sz w:val="24"/>
          <w:szCs w:val="24"/>
        </w:rPr>
        <w:t>Answer:</w:t>
      </w:r>
    </w:p>
    <w:p w14:paraId="1FF8B51C" w14:textId="1D5EA678" w:rsidR="00FD4BDB" w:rsidRDefault="00FD4BDB" w:rsidP="00FD4BDB">
      <w:pPr>
        <w:spacing w:line="360" w:lineRule="auto"/>
        <w:jc w:val="both"/>
        <w:rPr>
          <w:rFonts w:ascii="Times New Roman" w:hAnsi="Times New Roman" w:cs="Times New Roman"/>
          <w:sz w:val="24"/>
          <w:szCs w:val="24"/>
        </w:rPr>
      </w:pPr>
      <w:r w:rsidRPr="00FD4BDB">
        <w:rPr>
          <w:rFonts w:ascii="Times New Roman" w:hAnsi="Times New Roman" w:cs="Times New Roman"/>
          <w:b/>
          <w:bCs/>
          <w:sz w:val="24"/>
          <w:szCs w:val="24"/>
          <w:u w:val="single"/>
        </w:rPr>
        <w:t>Introduction</w:t>
      </w:r>
      <w:r w:rsidRPr="00FD4BDB">
        <w:rPr>
          <w:rFonts w:ascii="Times New Roman" w:hAnsi="Times New Roman" w:cs="Times New Roman"/>
          <w:b/>
          <w:bCs/>
          <w:sz w:val="24"/>
          <w:szCs w:val="24"/>
        </w:rPr>
        <w:t>:</w:t>
      </w:r>
    </w:p>
    <w:p w14:paraId="3A2486D1" w14:textId="2F388656" w:rsidR="00FD4BDB" w:rsidRDefault="003E3520" w:rsidP="00EF4F79">
      <w:pPr>
        <w:spacing w:line="360" w:lineRule="auto"/>
        <w:jc w:val="both"/>
        <w:rPr>
          <w:rFonts w:ascii="Times New Roman" w:hAnsi="Times New Roman" w:cs="Times New Roman"/>
          <w:sz w:val="24"/>
          <w:szCs w:val="24"/>
        </w:rPr>
      </w:pPr>
      <w:r w:rsidRPr="003E3520">
        <w:rPr>
          <w:rFonts w:ascii="Times New Roman" w:hAnsi="Times New Roman" w:cs="Times New Roman"/>
          <w:sz w:val="24"/>
          <w:szCs w:val="24"/>
        </w:rPr>
        <w:t xml:space="preserve">Bank managers play a crucial role in understanding and anticipating their customers' needs and preferences regarding various banking services. By </w:t>
      </w:r>
      <w:proofErr w:type="spellStart"/>
      <w:r w:rsidRPr="003E3520">
        <w:rPr>
          <w:rFonts w:ascii="Times New Roman" w:hAnsi="Times New Roman" w:cs="Times New Roman"/>
          <w:sz w:val="24"/>
          <w:szCs w:val="24"/>
        </w:rPr>
        <w:t>analyzing</w:t>
      </w:r>
      <w:proofErr w:type="spellEnd"/>
      <w:r w:rsidRPr="003E3520">
        <w:rPr>
          <w:rFonts w:ascii="Times New Roman" w:hAnsi="Times New Roman" w:cs="Times New Roman"/>
          <w:sz w:val="24"/>
          <w:szCs w:val="24"/>
        </w:rPr>
        <w:t xml:space="preserve"> internal factors such as organizational culture, employee expertise, and operational processes, managers can create a conducive environment for effective decision-making. This internal paradigm helps them identify customers' important choices, tailor services to meet those needs, and enhance overall customer satisfaction, fostering long-term relationships and loyalty in a competitive banking landscape.</w:t>
      </w:r>
    </w:p>
    <w:p w14:paraId="52918AD3" w14:textId="77777777" w:rsidR="00FF2439" w:rsidRDefault="00FF2439" w:rsidP="00EF4F79">
      <w:pPr>
        <w:spacing w:line="360" w:lineRule="auto"/>
        <w:jc w:val="both"/>
        <w:rPr>
          <w:rFonts w:ascii="Times New Roman" w:hAnsi="Times New Roman" w:cs="Times New Roman"/>
          <w:sz w:val="24"/>
          <w:szCs w:val="24"/>
        </w:rPr>
      </w:pPr>
    </w:p>
    <w:p w14:paraId="3EC18400" w14:textId="77777777" w:rsidR="00AB28EA" w:rsidRPr="00FF5F02" w:rsidRDefault="00AB28EA" w:rsidP="00AB28E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0F1C47A"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60B32F1"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6AE315A"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3A80F75" w14:textId="77777777" w:rsidR="00AB28EA" w:rsidRPr="00FF5F02" w:rsidRDefault="00AB28EA" w:rsidP="00AB28E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165B319" w14:textId="77777777" w:rsidR="00AB28EA" w:rsidRPr="00FF5F02" w:rsidRDefault="00AB28EA" w:rsidP="00AB28E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94BDBF" w14:textId="77777777" w:rsidR="00AB28EA" w:rsidRPr="00D20F89" w:rsidRDefault="00AB28EA" w:rsidP="00AB28E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9362F4D" w14:textId="77777777" w:rsidR="00AB28EA" w:rsidRDefault="00AB28EA" w:rsidP="00EF4F79">
      <w:pPr>
        <w:spacing w:line="360" w:lineRule="auto"/>
        <w:jc w:val="both"/>
        <w:rPr>
          <w:rFonts w:ascii="Times New Roman" w:hAnsi="Times New Roman" w:cs="Times New Roman"/>
          <w:sz w:val="24"/>
          <w:szCs w:val="24"/>
        </w:rPr>
      </w:pPr>
    </w:p>
    <w:p w14:paraId="4D63A955" w14:textId="77777777" w:rsidR="00FD4BDB" w:rsidRPr="0062708F" w:rsidRDefault="00FD4BDB" w:rsidP="00EF4F79">
      <w:pPr>
        <w:spacing w:line="360" w:lineRule="auto"/>
        <w:jc w:val="both"/>
        <w:rPr>
          <w:rFonts w:ascii="Times New Roman" w:hAnsi="Times New Roman" w:cs="Times New Roman"/>
          <w:sz w:val="24"/>
          <w:szCs w:val="24"/>
        </w:rPr>
      </w:pPr>
    </w:p>
    <w:p w14:paraId="6B63D814" w14:textId="77777777" w:rsidR="002B5A6B" w:rsidRPr="0062708F" w:rsidRDefault="002B5A6B" w:rsidP="00EF4F79">
      <w:pPr>
        <w:spacing w:line="360" w:lineRule="auto"/>
        <w:jc w:val="both"/>
        <w:rPr>
          <w:rFonts w:ascii="Times New Roman" w:hAnsi="Times New Roman" w:cs="Times New Roman"/>
          <w:sz w:val="24"/>
          <w:szCs w:val="24"/>
        </w:rPr>
      </w:pPr>
    </w:p>
    <w:p w14:paraId="56D3297C" w14:textId="77777777" w:rsidR="0062708F" w:rsidRPr="0062708F" w:rsidRDefault="0062708F" w:rsidP="00EF4F79">
      <w:pPr>
        <w:spacing w:line="360" w:lineRule="auto"/>
        <w:jc w:val="both"/>
        <w:rPr>
          <w:rFonts w:ascii="Times New Roman" w:hAnsi="Times New Roman" w:cs="Times New Roman"/>
          <w:sz w:val="24"/>
          <w:szCs w:val="24"/>
        </w:rPr>
      </w:pPr>
    </w:p>
    <w:sectPr w:rsidR="0062708F" w:rsidRPr="0062708F" w:rsidSect="00EF4F7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F"/>
    <w:rsid w:val="00171F07"/>
    <w:rsid w:val="001F6B1A"/>
    <w:rsid w:val="00261E90"/>
    <w:rsid w:val="002B5A6B"/>
    <w:rsid w:val="003B59D5"/>
    <w:rsid w:val="003E3520"/>
    <w:rsid w:val="003F492B"/>
    <w:rsid w:val="004C5345"/>
    <w:rsid w:val="00517F16"/>
    <w:rsid w:val="00533E2B"/>
    <w:rsid w:val="0062708F"/>
    <w:rsid w:val="006E5453"/>
    <w:rsid w:val="007635DD"/>
    <w:rsid w:val="0084217A"/>
    <w:rsid w:val="008A3539"/>
    <w:rsid w:val="008D1260"/>
    <w:rsid w:val="008D4BCC"/>
    <w:rsid w:val="009B4D78"/>
    <w:rsid w:val="00A73814"/>
    <w:rsid w:val="00AB16D6"/>
    <w:rsid w:val="00AB28EA"/>
    <w:rsid w:val="00B071E9"/>
    <w:rsid w:val="00B32C6E"/>
    <w:rsid w:val="00BE6F6D"/>
    <w:rsid w:val="00C371E8"/>
    <w:rsid w:val="00C60BCB"/>
    <w:rsid w:val="00EF4F79"/>
    <w:rsid w:val="00FB0E4B"/>
    <w:rsid w:val="00FD4BDB"/>
    <w:rsid w:val="00FF24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5469"/>
  <w15:chartTrackingRefBased/>
  <w15:docId w15:val="{1DED5CE6-C09C-4636-84AC-803E2B6A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8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2024-10-15T15:05:00Z</dcterms:created>
  <dcterms:modified xsi:type="dcterms:W3CDTF">2024-10-16T05:45:00Z</dcterms:modified>
</cp:coreProperties>
</file>