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DEAFB" w14:textId="45BC5774" w:rsidR="00AD4EF8" w:rsidRPr="00912A5E" w:rsidRDefault="00AD4EF8" w:rsidP="00AD4EF8">
      <w:pPr>
        <w:spacing w:line="276" w:lineRule="auto"/>
        <w:jc w:val="center"/>
        <w:rPr>
          <w:rFonts w:ascii="Times New Roman" w:hAnsi="Times New Roman" w:cs="Times New Roman"/>
          <w:b/>
          <w:bCs/>
          <w:sz w:val="32"/>
          <w:szCs w:val="32"/>
          <w:u w:val="single"/>
        </w:rPr>
      </w:pPr>
      <w:r w:rsidRPr="00912A5E">
        <w:rPr>
          <w:rFonts w:ascii="Times New Roman" w:hAnsi="Times New Roman" w:cs="Times New Roman"/>
          <w:b/>
          <w:bCs/>
          <w:sz w:val="32"/>
          <w:szCs w:val="32"/>
          <w:highlight w:val="green"/>
          <w:u w:val="single"/>
        </w:rPr>
        <w:t>Treasury Management in Banking</w:t>
      </w:r>
    </w:p>
    <w:p w14:paraId="6B8B5472" w14:textId="77777777" w:rsidR="00912A5E" w:rsidRPr="00B100E2" w:rsidRDefault="00912A5E" w:rsidP="00912A5E">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7812A3CA" w14:textId="5B33853C" w:rsidR="0027543D" w:rsidRDefault="00912A5E" w:rsidP="00912A5E">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70D6C3B6" w14:textId="18A7CA90" w:rsidR="00AD4EF8" w:rsidRPr="0027543D" w:rsidRDefault="00AD4EF8" w:rsidP="00AD4EF8">
      <w:pPr>
        <w:spacing w:line="276" w:lineRule="auto"/>
        <w:jc w:val="both"/>
        <w:rPr>
          <w:rFonts w:ascii="Times New Roman" w:hAnsi="Times New Roman" w:cs="Times New Roman"/>
          <w:b/>
          <w:bCs/>
          <w:sz w:val="24"/>
          <w:szCs w:val="24"/>
        </w:rPr>
      </w:pPr>
      <w:r w:rsidRPr="0027543D">
        <w:rPr>
          <w:rFonts w:ascii="Times New Roman" w:hAnsi="Times New Roman" w:cs="Times New Roman"/>
          <w:b/>
          <w:bCs/>
          <w:sz w:val="24"/>
          <w:szCs w:val="24"/>
        </w:rPr>
        <w:t>Q1. Traditionally, only Central Banks or major Commercial Banks like SBI etc. had the strength of providing Treasury products &amp; services. Now even smaller banks duly authorized by RBI &amp; large Corporates are providing Forex, MM and Derivative products to various market participants. Enumerate and describe the purposes for which a Banks/Corporate Treasury exists and allows online business thru CCIL's FX Retail platform.</w:t>
      </w:r>
    </w:p>
    <w:p w14:paraId="504F13BD" w14:textId="2C502162" w:rsidR="0027543D" w:rsidRPr="0027543D" w:rsidRDefault="0027543D" w:rsidP="00AD4EF8">
      <w:pPr>
        <w:spacing w:line="276" w:lineRule="auto"/>
        <w:jc w:val="both"/>
        <w:rPr>
          <w:rFonts w:ascii="Times New Roman" w:hAnsi="Times New Roman" w:cs="Times New Roman"/>
          <w:b/>
          <w:bCs/>
          <w:sz w:val="24"/>
          <w:szCs w:val="24"/>
        </w:rPr>
      </w:pPr>
      <w:r w:rsidRPr="0027543D">
        <w:rPr>
          <w:rFonts w:ascii="Times New Roman" w:hAnsi="Times New Roman" w:cs="Times New Roman"/>
          <w:b/>
          <w:bCs/>
          <w:sz w:val="24"/>
          <w:szCs w:val="24"/>
        </w:rPr>
        <w:t>Answer:</w:t>
      </w:r>
    </w:p>
    <w:p w14:paraId="1A208CBB" w14:textId="5881B537" w:rsidR="0027543D" w:rsidRPr="0027543D" w:rsidRDefault="0027543D" w:rsidP="00AD4EF8">
      <w:pPr>
        <w:spacing w:line="276" w:lineRule="auto"/>
        <w:jc w:val="both"/>
        <w:rPr>
          <w:rFonts w:ascii="Times New Roman" w:hAnsi="Times New Roman" w:cs="Times New Roman"/>
          <w:b/>
          <w:bCs/>
          <w:sz w:val="24"/>
          <w:szCs w:val="24"/>
        </w:rPr>
      </w:pPr>
      <w:r w:rsidRPr="0027543D">
        <w:rPr>
          <w:rFonts w:ascii="Times New Roman" w:hAnsi="Times New Roman" w:cs="Times New Roman"/>
          <w:b/>
          <w:bCs/>
          <w:sz w:val="24"/>
          <w:szCs w:val="24"/>
          <w:u w:val="single"/>
        </w:rPr>
        <w:t>Introduction</w:t>
      </w:r>
      <w:r w:rsidRPr="0027543D">
        <w:rPr>
          <w:rFonts w:ascii="Times New Roman" w:hAnsi="Times New Roman" w:cs="Times New Roman"/>
          <w:b/>
          <w:bCs/>
          <w:sz w:val="24"/>
          <w:szCs w:val="24"/>
        </w:rPr>
        <w:t>:</w:t>
      </w:r>
    </w:p>
    <w:p w14:paraId="5EF6FF1D" w14:textId="75DD3753" w:rsidR="0027543D" w:rsidRDefault="006D4189" w:rsidP="00AD4EF8">
      <w:pPr>
        <w:spacing w:line="276" w:lineRule="auto"/>
        <w:jc w:val="both"/>
        <w:rPr>
          <w:rFonts w:ascii="Times New Roman" w:hAnsi="Times New Roman" w:cs="Times New Roman"/>
          <w:sz w:val="24"/>
          <w:szCs w:val="24"/>
        </w:rPr>
      </w:pPr>
      <w:r w:rsidRPr="006D4189">
        <w:rPr>
          <w:rFonts w:ascii="Times New Roman" w:hAnsi="Times New Roman" w:cs="Times New Roman"/>
          <w:sz w:val="24"/>
          <w:szCs w:val="24"/>
        </w:rPr>
        <w:t>A Bank's or Corporate's Treasury exists to manage the organization's financial assets and liabilities effectively while supporting its operational and strategic goals. The purpose of a Treasury can be broken down into several key areas, each crucial for ensuring financial stability, liquidity, risk management, and compliance. With the advancement of digital platforms like CCIL's FX Retail platform, Treasury services are now more accessible, enabling businesses of various sizes to participate in forex, money markets, and derivative transactions. Below are the primary purposes for which a Bank’s/Corporate Treasury exists:</w:t>
      </w:r>
    </w:p>
    <w:p w14:paraId="1BD69B54" w14:textId="726D73DF" w:rsidR="006D4189" w:rsidRPr="00AF77A7" w:rsidRDefault="00AF77A7" w:rsidP="00AD4EF8">
      <w:pPr>
        <w:spacing w:line="276" w:lineRule="auto"/>
        <w:jc w:val="both"/>
        <w:rPr>
          <w:rFonts w:ascii="Times New Roman" w:hAnsi="Times New Roman" w:cs="Times New Roman"/>
          <w:b/>
          <w:bCs/>
          <w:sz w:val="24"/>
          <w:szCs w:val="24"/>
        </w:rPr>
      </w:pPr>
      <w:r w:rsidRPr="00AF77A7">
        <w:rPr>
          <w:rFonts w:ascii="Times New Roman" w:hAnsi="Times New Roman" w:cs="Times New Roman"/>
          <w:b/>
          <w:bCs/>
          <w:sz w:val="24"/>
          <w:szCs w:val="24"/>
        </w:rPr>
        <w:t>Role of CCIL’s FX Retail Platform</w:t>
      </w:r>
    </w:p>
    <w:p w14:paraId="467C021B" w14:textId="77777777" w:rsidR="000A37F6" w:rsidRPr="00FF5F02" w:rsidRDefault="000A37F6" w:rsidP="000A37F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E69AABD" w14:textId="77777777" w:rsidR="000A37F6" w:rsidRPr="00FF5F02" w:rsidRDefault="000A37F6" w:rsidP="000A37F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6C7E1D6" w14:textId="77777777" w:rsidR="000A37F6" w:rsidRPr="00FF5F02" w:rsidRDefault="000A37F6" w:rsidP="000A37F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D2FAC07" w14:textId="77777777" w:rsidR="000A37F6" w:rsidRPr="00FF5F02" w:rsidRDefault="000A37F6" w:rsidP="000A37F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8E767DA" w14:textId="77777777" w:rsidR="000A37F6" w:rsidRPr="00FF5F02" w:rsidRDefault="000A37F6" w:rsidP="000A37F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2087F1D6" w14:textId="77777777" w:rsidR="000A37F6" w:rsidRPr="00FF5F02" w:rsidRDefault="000A37F6" w:rsidP="000A37F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A5557D7" w14:textId="77777777" w:rsidR="000A37F6" w:rsidRPr="00D20F89" w:rsidRDefault="000A37F6" w:rsidP="000A37F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lastRenderedPageBreak/>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5228B409" w14:textId="77777777" w:rsidR="00AF77A7" w:rsidRDefault="00AF77A7" w:rsidP="00AD4EF8">
      <w:pPr>
        <w:spacing w:line="276" w:lineRule="auto"/>
        <w:jc w:val="both"/>
        <w:rPr>
          <w:rFonts w:ascii="Times New Roman" w:hAnsi="Times New Roman" w:cs="Times New Roman"/>
          <w:sz w:val="24"/>
          <w:szCs w:val="24"/>
        </w:rPr>
      </w:pPr>
    </w:p>
    <w:p w14:paraId="1D8A858B" w14:textId="77777777" w:rsidR="00AD4EF8" w:rsidRPr="003454E8" w:rsidRDefault="00AD4EF8" w:rsidP="00AD4EF8">
      <w:pPr>
        <w:spacing w:line="276" w:lineRule="auto"/>
        <w:jc w:val="both"/>
        <w:rPr>
          <w:rFonts w:ascii="Times New Roman" w:hAnsi="Times New Roman" w:cs="Times New Roman"/>
          <w:b/>
          <w:bCs/>
          <w:sz w:val="24"/>
          <w:szCs w:val="24"/>
        </w:rPr>
      </w:pPr>
      <w:r w:rsidRPr="003454E8">
        <w:rPr>
          <w:rFonts w:ascii="Times New Roman" w:hAnsi="Times New Roman" w:cs="Times New Roman"/>
          <w:b/>
          <w:bCs/>
          <w:sz w:val="24"/>
          <w:szCs w:val="24"/>
        </w:rPr>
        <w:t>Q2. Explain with example, how the Clearing Corporation of India Ltd (CCIL) provides the platform for Trading and settlement of various Forex, MM &amp; Derivative Products with the Trading members and RBI.</w:t>
      </w:r>
    </w:p>
    <w:p w14:paraId="5D2D3089" w14:textId="77777777" w:rsidR="003454E8" w:rsidRPr="0027543D" w:rsidRDefault="003454E8" w:rsidP="003454E8">
      <w:pPr>
        <w:spacing w:line="276" w:lineRule="auto"/>
        <w:jc w:val="both"/>
        <w:rPr>
          <w:rFonts w:ascii="Times New Roman" w:hAnsi="Times New Roman" w:cs="Times New Roman"/>
          <w:b/>
          <w:bCs/>
          <w:sz w:val="24"/>
          <w:szCs w:val="24"/>
        </w:rPr>
      </w:pPr>
      <w:r w:rsidRPr="0027543D">
        <w:rPr>
          <w:rFonts w:ascii="Times New Roman" w:hAnsi="Times New Roman" w:cs="Times New Roman"/>
          <w:b/>
          <w:bCs/>
          <w:sz w:val="24"/>
          <w:szCs w:val="24"/>
        </w:rPr>
        <w:t>Answer:</w:t>
      </w:r>
    </w:p>
    <w:p w14:paraId="29ABE9E3" w14:textId="77777777" w:rsidR="003454E8" w:rsidRPr="0027543D" w:rsidRDefault="003454E8" w:rsidP="003454E8">
      <w:pPr>
        <w:spacing w:line="276" w:lineRule="auto"/>
        <w:jc w:val="both"/>
        <w:rPr>
          <w:rFonts w:ascii="Times New Roman" w:hAnsi="Times New Roman" w:cs="Times New Roman"/>
          <w:b/>
          <w:bCs/>
          <w:sz w:val="24"/>
          <w:szCs w:val="24"/>
        </w:rPr>
      </w:pPr>
      <w:r w:rsidRPr="0027543D">
        <w:rPr>
          <w:rFonts w:ascii="Times New Roman" w:hAnsi="Times New Roman" w:cs="Times New Roman"/>
          <w:b/>
          <w:bCs/>
          <w:sz w:val="24"/>
          <w:szCs w:val="24"/>
          <w:u w:val="single"/>
        </w:rPr>
        <w:t>Introduction</w:t>
      </w:r>
      <w:r w:rsidRPr="0027543D">
        <w:rPr>
          <w:rFonts w:ascii="Times New Roman" w:hAnsi="Times New Roman" w:cs="Times New Roman"/>
          <w:b/>
          <w:bCs/>
          <w:sz w:val="24"/>
          <w:szCs w:val="24"/>
        </w:rPr>
        <w:t>:</w:t>
      </w:r>
    </w:p>
    <w:p w14:paraId="7817A8C0" w14:textId="77777777" w:rsidR="00AF77A7" w:rsidRPr="00AF77A7" w:rsidRDefault="00AF77A7" w:rsidP="00AF77A7">
      <w:pPr>
        <w:spacing w:line="276" w:lineRule="auto"/>
        <w:jc w:val="both"/>
        <w:rPr>
          <w:rFonts w:ascii="Times New Roman" w:hAnsi="Times New Roman" w:cs="Times New Roman"/>
          <w:sz w:val="24"/>
          <w:szCs w:val="24"/>
        </w:rPr>
      </w:pPr>
      <w:r w:rsidRPr="00AF77A7">
        <w:rPr>
          <w:rFonts w:ascii="Times New Roman" w:hAnsi="Times New Roman" w:cs="Times New Roman"/>
          <w:sz w:val="24"/>
          <w:szCs w:val="24"/>
        </w:rPr>
        <w:t>The Clearing Corporation of India Ltd (CCIL) plays a pivotal role in the Indian financial markets by facilitating the efficient and transparent trading and settlement of various financial products, including foreign exchange (forex), money market (MM), and derivatives. Through its platforms, CCIL ensures that transactions between trading members (such as banks, financial institutions, and corporate treasuries) and the Reserve Bank of India (RBI) are executed smoothly, reducing counterparty risk, ensuring settlement finality, and increasing market stability.</w:t>
      </w:r>
    </w:p>
    <w:p w14:paraId="730335A0" w14:textId="437C5ABD" w:rsidR="003454E8" w:rsidRPr="00AF77A7" w:rsidRDefault="00AF77A7" w:rsidP="00AF77A7">
      <w:pPr>
        <w:spacing w:line="276" w:lineRule="auto"/>
        <w:jc w:val="both"/>
        <w:rPr>
          <w:rFonts w:ascii="Times New Roman" w:hAnsi="Times New Roman" w:cs="Times New Roman"/>
          <w:b/>
          <w:bCs/>
          <w:sz w:val="24"/>
          <w:szCs w:val="24"/>
        </w:rPr>
      </w:pPr>
      <w:r w:rsidRPr="00AF77A7">
        <w:rPr>
          <w:rFonts w:ascii="Times New Roman" w:hAnsi="Times New Roman" w:cs="Times New Roman"/>
          <w:b/>
          <w:bCs/>
          <w:sz w:val="24"/>
          <w:szCs w:val="24"/>
        </w:rPr>
        <w:t>How CCIL Provides the Platform for Trading and Settlement:</w:t>
      </w:r>
    </w:p>
    <w:p w14:paraId="0738C019" w14:textId="7E3E245D" w:rsidR="00AF77A7" w:rsidRPr="00AF77A7" w:rsidRDefault="00AF77A7" w:rsidP="00AF77A7">
      <w:pPr>
        <w:spacing w:line="276" w:lineRule="auto"/>
        <w:jc w:val="both"/>
        <w:rPr>
          <w:rFonts w:ascii="Times New Roman" w:hAnsi="Times New Roman" w:cs="Times New Roman"/>
          <w:b/>
          <w:bCs/>
          <w:sz w:val="24"/>
          <w:szCs w:val="24"/>
        </w:rPr>
      </w:pPr>
      <w:r w:rsidRPr="00AF77A7">
        <w:rPr>
          <w:rFonts w:ascii="Times New Roman" w:hAnsi="Times New Roman" w:cs="Times New Roman"/>
          <w:b/>
          <w:bCs/>
          <w:sz w:val="24"/>
          <w:szCs w:val="24"/>
        </w:rPr>
        <w:t>Process of Trading and Settlement Through CCIL:</w:t>
      </w:r>
    </w:p>
    <w:p w14:paraId="231DB748" w14:textId="6A3EA94E" w:rsidR="00AF77A7" w:rsidRPr="000A37F6" w:rsidRDefault="00AF77A7" w:rsidP="00AF77A7">
      <w:pPr>
        <w:spacing w:line="276" w:lineRule="auto"/>
        <w:jc w:val="both"/>
        <w:rPr>
          <w:rFonts w:ascii="Times New Roman" w:hAnsi="Times New Roman" w:cs="Times New Roman"/>
          <w:b/>
          <w:bCs/>
          <w:sz w:val="24"/>
          <w:szCs w:val="24"/>
        </w:rPr>
      </w:pPr>
      <w:r w:rsidRPr="00AF77A7">
        <w:rPr>
          <w:rFonts w:ascii="Times New Roman" w:hAnsi="Times New Roman" w:cs="Times New Roman"/>
          <w:b/>
          <w:bCs/>
          <w:sz w:val="24"/>
          <w:szCs w:val="24"/>
        </w:rPr>
        <w:t>Example of CCIL in Action:</w:t>
      </w:r>
    </w:p>
    <w:p w14:paraId="5D9715E6" w14:textId="77777777" w:rsidR="000A37F6" w:rsidRPr="00FF5F02" w:rsidRDefault="000A37F6" w:rsidP="000A37F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8300F18" w14:textId="77777777" w:rsidR="000A37F6" w:rsidRPr="00FF5F02" w:rsidRDefault="000A37F6" w:rsidP="000A37F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6BFCCD5" w14:textId="77777777" w:rsidR="000A37F6" w:rsidRPr="00FF5F02" w:rsidRDefault="000A37F6" w:rsidP="000A37F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721DB4C" w14:textId="77777777" w:rsidR="000A37F6" w:rsidRPr="00FF5F02" w:rsidRDefault="000A37F6" w:rsidP="000A37F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8E6DD3B" w14:textId="77777777" w:rsidR="000A37F6" w:rsidRPr="00FF5F02" w:rsidRDefault="000A37F6" w:rsidP="000A37F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7BC20C8D" w14:textId="77777777" w:rsidR="000A37F6" w:rsidRPr="00FF5F02" w:rsidRDefault="000A37F6" w:rsidP="000A37F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E68818B" w14:textId="77777777" w:rsidR="000A37F6" w:rsidRPr="00D20F89" w:rsidRDefault="000A37F6" w:rsidP="000A37F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0E9F96E8" w14:textId="77777777" w:rsidR="00AD4EF8" w:rsidRPr="000A37F6" w:rsidRDefault="00AD4EF8" w:rsidP="00AD4EF8">
      <w:pPr>
        <w:spacing w:line="276" w:lineRule="auto"/>
        <w:jc w:val="both"/>
        <w:rPr>
          <w:rFonts w:ascii="Times New Roman" w:hAnsi="Times New Roman" w:cs="Times New Roman"/>
          <w:b/>
          <w:bCs/>
          <w:sz w:val="24"/>
          <w:szCs w:val="24"/>
        </w:rPr>
      </w:pPr>
      <w:r w:rsidRPr="000A37F6">
        <w:rPr>
          <w:rFonts w:ascii="Times New Roman" w:hAnsi="Times New Roman" w:cs="Times New Roman"/>
          <w:b/>
          <w:bCs/>
          <w:sz w:val="24"/>
          <w:szCs w:val="24"/>
        </w:rPr>
        <w:lastRenderedPageBreak/>
        <w:t>Q3. "A prudent liquidity/Cash management ensures bank's solvency, profitability and overall stability/growth in an economy"</w:t>
      </w:r>
    </w:p>
    <w:p w14:paraId="45BA4EBD" w14:textId="77777777" w:rsidR="00AD4EF8" w:rsidRDefault="00AD4EF8" w:rsidP="00AD4EF8">
      <w:pPr>
        <w:spacing w:line="276" w:lineRule="auto"/>
        <w:jc w:val="both"/>
        <w:rPr>
          <w:rFonts w:ascii="Times New Roman" w:hAnsi="Times New Roman" w:cs="Times New Roman"/>
          <w:sz w:val="24"/>
          <w:szCs w:val="24"/>
        </w:rPr>
      </w:pPr>
      <w:r w:rsidRPr="000A37F6">
        <w:rPr>
          <w:rFonts w:ascii="Times New Roman" w:hAnsi="Times New Roman" w:cs="Times New Roman"/>
          <w:b/>
          <w:bCs/>
          <w:sz w:val="24"/>
          <w:szCs w:val="24"/>
        </w:rPr>
        <w:t>a. Discuss The impact on liquidity and inflation when CRR increases and reduces respectively.</w:t>
      </w:r>
    </w:p>
    <w:p w14:paraId="491CFCFD" w14:textId="77777777" w:rsidR="00AF77A7" w:rsidRPr="0027543D" w:rsidRDefault="00AF77A7" w:rsidP="00AF77A7">
      <w:pPr>
        <w:spacing w:line="276" w:lineRule="auto"/>
        <w:jc w:val="both"/>
        <w:rPr>
          <w:rFonts w:ascii="Times New Roman" w:hAnsi="Times New Roman" w:cs="Times New Roman"/>
          <w:b/>
          <w:bCs/>
          <w:sz w:val="24"/>
          <w:szCs w:val="24"/>
        </w:rPr>
      </w:pPr>
      <w:r w:rsidRPr="0027543D">
        <w:rPr>
          <w:rFonts w:ascii="Times New Roman" w:hAnsi="Times New Roman" w:cs="Times New Roman"/>
          <w:b/>
          <w:bCs/>
          <w:sz w:val="24"/>
          <w:szCs w:val="24"/>
        </w:rPr>
        <w:t>Answer:</w:t>
      </w:r>
    </w:p>
    <w:p w14:paraId="7822513F" w14:textId="77777777" w:rsidR="00AF77A7" w:rsidRPr="0027543D" w:rsidRDefault="00AF77A7" w:rsidP="00AF77A7">
      <w:pPr>
        <w:spacing w:line="276" w:lineRule="auto"/>
        <w:jc w:val="both"/>
        <w:rPr>
          <w:rFonts w:ascii="Times New Roman" w:hAnsi="Times New Roman" w:cs="Times New Roman"/>
          <w:b/>
          <w:bCs/>
          <w:sz w:val="24"/>
          <w:szCs w:val="24"/>
        </w:rPr>
      </w:pPr>
      <w:r w:rsidRPr="0027543D">
        <w:rPr>
          <w:rFonts w:ascii="Times New Roman" w:hAnsi="Times New Roman" w:cs="Times New Roman"/>
          <w:b/>
          <w:bCs/>
          <w:sz w:val="24"/>
          <w:szCs w:val="24"/>
          <w:u w:val="single"/>
        </w:rPr>
        <w:t>Introduction</w:t>
      </w:r>
      <w:r w:rsidRPr="0027543D">
        <w:rPr>
          <w:rFonts w:ascii="Times New Roman" w:hAnsi="Times New Roman" w:cs="Times New Roman"/>
          <w:b/>
          <w:bCs/>
          <w:sz w:val="24"/>
          <w:szCs w:val="24"/>
        </w:rPr>
        <w:t>:</w:t>
      </w:r>
    </w:p>
    <w:p w14:paraId="4C070AF3" w14:textId="68175F92" w:rsidR="0047285B" w:rsidRDefault="0047285B" w:rsidP="00AD4EF8">
      <w:pPr>
        <w:spacing w:line="276" w:lineRule="auto"/>
        <w:jc w:val="both"/>
        <w:rPr>
          <w:rFonts w:ascii="Times New Roman" w:hAnsi="Times New Roman" w:cs="Times New Roman"/>
          <w:sz w:val="24"/>
          <w:szCs w:val="24"/>
        </w:rPr>
      </w:pPr>
      <w:r w:rsidRPr="0047285B">
        <w:rPr>
          <w:rFonts w:ascii="Times New Roman" w:hAnsi="Times New Roman" w:cs="Times New Roman"/>
          <w:sz w:val="24"/>
          <w:szCs w:val="24"/>
        </w:rPr>
        <w:t>Cash Reserve Ratio (CRR) is a key monetary policy tool used by central banks to control liquidity in the banking system. By adjusting CRR, the central bank influences the amount of funds banks can lend, thereby impacting overall liquidity and inflation. An increase or decrease in CRR has direct consequences on bank liquidity, inflation, and economic stability.</w:t>
      </w:r>
    </w:p>
    <w:p w14:paraId="6D860A95" w14:textId="421F7638" w:rsidR="00AF77A7" w:rsidRPr="0047285B" w:rsidRDefault="00646579" w:rsidP="00AD4EF8">
      <w:pPr>
        <w:spacing w:line="276" w:lineRule="auto"/>
        <w:jc w:val="both"/>
        <w:rPr>
          <w:rFonts w:ascii="Times New Roman" w:hAnsi="Times New Roman" w:cs="Times New Roman"/>
          <w:b/>
          <w:bCs/>
          <w:sz w:val="24"/>
          <w:szCs w:val="24"/>
        </w:rPr>
      </w:pPr>
      <w:r w:rsidRPr="0047285B">
        <w:rPr>
          <w:rFonts w:ascii="Times New Roman" w:hAnsi="Times New Roman" w:cs="Times New Roman"/>
          <w:b/>
          <w:bCs/>
          <w:sz w:val="24"/>
          <w:szCs w:val="24"/>
        </w:rPr>
        <w:t>Impact of CRR Increase on Liquidity and Inflation:</w:t>
      </w:r>
    </w:p>
    <w:p w14:paraId="239328C7" w14:textId="0A8C5105" w:rsidR="00646579" w:rsidRPr="0047285B" w:rsidRDefault="00646579" w:rsidP="00AD4EF8">
      <w:pPr>
        <w:spacing w:line="276" w:lineRule="auto"/>
        <w:jc w:val="both"/>
        <w:rPr>
          <w:rFonts w:ascii="Times New Roman" w:hAnsi="Times New Roman" w:cs="Times New Roman"/>
          <w:b/>
          <w:bCs/>
          <w:sz w:val="24"/>
          <w:szCs w:val="24"/>
        </w:rPr>
      </w:pPr>
      <w:r w:rsidRPr="0047285B">
        <w:rPr>
          <w:rFonts w:ascii="Times New Roman" w:hAnsi="Times New Roman" w:cs="Times New Roman"/>
          <w:b/>
          <w:bCs/>
          <w:sz w:val="24"/>
          <w:szCs w:val="24"/>
        </w:rPr>
        <w:t>Impact of CRR Reduction on Liquidity and Inflation:</w:t>
      </w:r>
    </w:p>
    <w:p w14:paraId="00F20030" w14:textId="77777777" w:rsidR="000A37F6" w:rsidRPr="00FF5F02" w:rsidRDefault="000A37F6" w:rsidP="000A37F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EFDE5A9" w14:textId="77777777" w:rsidR="000A37F6" w:rsidRPr="00FF5F02" w:rsidRDefault="000A37F6" w:rsidP="000A37F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D607563" w14:textId="77777777" w:rsidR="000A37F6" w:rsidRPr="00FF5F02" w:rsidRDefault="000A37F6" w:rsidP="000A37F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88438FA" w14:textId="77777777" w:rsidR="000A37F6" w:rsidRPr="00FF5F02" w:rsidRDefault="000A37F6" w:rsidP="000A37F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38A7269" w14:textId="77777777" w:rsidR="000A37F6" w:rsidRPr="00FF5F02" w:rsidRDefault="000A37F6" w:rsidP="000A37F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01540AB4" w14:textId="77777777" w:rsidR="000A37F6" w:rsidRPr="00FF5F02" w:rsidRDefault="000A37F6" w:rsidP="000A37F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02B45BA" w14:textId="77777777" w:rsidR="000A37F6" w:rsidRPr="00D20F89" w:rsidRDefault="000A37F6" w:rsidP="000A37F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3BD79C7F" w14:textId="77777777" w:rsidR="00646579" w:rsidRDefault="00646579" w:rsidP="00AD4EF8">
      <w:pPr>
        <w:spacing w:line="276" w:lineRule="auto"/>
        <w:jc w:val="both"/>
        <w:rPr>
          <w:rFonts w:ascii="Times New Roman" w:hAnsi="Times New Roman" w:cs="Times New Roman"/>
          <w:sz w:val="24"/>
          <w:szCs w:val="24"/>
        </w:rPr>
      </w:pPr>
    </w:p>
    <w:p w14:paraId="222DA75F" w14:textId="418C7D93" w:rsidR="002B5A6B" w:rsidRPr="004F27A5" w:rsidRDefault="00AD4EF8" w:rsidP="00AD4EF8">
      <w:pPr>
        <w:spacing w:line="276" w:lineRule="auto"/>
        <w:jc w:val="both"/>
        <w:rPr>
          <w:rFonts w:ascii="Times New Roman" w:hAnsi="Times New Roman" w:cs="Times New Roman"/>
          <w:b/>
          <w:bCs/>
          <w:sz w:val="24"/>
          <w:szCs w:val="24"/>
        </w:rPr>
      </w:pPr>
      <w:r w:rsidRPr="004F27A5">
        <w:rPr>
          <w:rFonts w:ascii="Times New Roman" w:hAnsi="Times New Roman" w:cs="Times New Roman"/>
          <w:b/>
          <w:bCs/>
          <w:sz w:val="24"/>
          <w:szCs w:val="24"/>
        </w:rPr>
        <w:t>b. Highlight the differences between Cash Reserve Ratio and Statutory Liquidity Ratio &amp; its impact on banks profitability.</w:t>
      </w:r>
    </w:p>
    <w:p w14:paraId="09FD54CA" w14:textId="77777777" w:rsidR="0047285B" w:rsidRPr="0027543D" w:rsidRDefault="0047285B" w:rsidP="0047285B">
      <w:pPr>
        <w:spacing w:line="276" w:lineRule="auto"/>
        <w:jc w:val="both"/>
        <w:rPr>
          <w:rFonts w:ascii="Times New Roman" w:hAnsi="Times New Roman" w:cs="Times New Roman"/>
          <w:b/>
          <w:bCs/>
          <w:sz w:val="24"/>
          <w:szCs w:val="24"/>
        </w:rPr>
      </w:pPr>
      <w:r w:rsidRPr="0027543D">
        <w:rPr>
          <w:rFonts w:ascii="Times New Roman" w:hAnsi="Times New Roman" w:cs="Times New Roman"/>
          <w:b/>
          <w:bCs/>
          <w:sz w:val="24"/>
          <w:szCs w:val="24"/>
        </w:rPr>
        <w:t>Answer:</w:t>
      </w:r>
    </w:p>
    <w:p w14:paraId="56AA6E9F" w14:textId="77777777" w:rsidR="0047285B" w:rsidRPr="0027543D" w:rsidRDefault="0047285B" w:rsidP="0047285B">
      <w:pPr>
        <w:spacing w:line="276" w:lineRule="auto"/>
        <w:jc w:val="both"/>
        <w:rPr>
          <w:rFonts w:ascii="Times New Roman" w:hAnsi="Times New Roman" w:cs="Times New Roman"/>
          <w:b/>
          <w:bCs/>
          <w:sz w:val="24"/>
          <w:szCs w:val="24"/>
        </w:rPr>
      </w:pPr>
      <w:r w:rsidRPr="0027543D">
        <w:rPr>
          <w:rFonts w:ascii="Times New Roman" w:hAnsi="Times New Roman" w:cs="Times New Roman"/>
          <w:b/>
          <w:bCs/>
          <w:sz w:val="24"/>
          <w:szCs w:val="24"/>
          <w:u w:val="single"/>
        </w:rPr>
        <w:t>Introduction</w:t>
      </w:r>
      <w:r w:rsidRPr="0027543D">
        <w:rPr>
          <w:rFonts w:ascii="Times New Roman" w:hAnsi="Times New Roman" w:cs="Times New Roman"/>
          <w:b/>
          <w:bCs/>
          <w:sz w:val="24"/>
          <w:szCs w:val="24"/>
        </w:rPr>
        <w:t>:</w:t>
      </w:r>
    </w:p>
    <w:p w14:paraId="1DFEE4DF" w14:textId="34896CA4" w:rsidR="0047285B" w:rsidRDefault="00FE365E" w:rsidP="00AD4EF8">
      <w:pPr>
        <w:spacing w:line="276" w:lineRule="auto"/>
        <w:jc w:val="both"/>
        <w:rPr>
          <w:rFonts w:ascii="Times New Roman" w:hAnsi="Times New Roman" w:cs="Times New Roman"/>
          <w:sz w:val="24"/>
          <w:szCs w:val="24"/>
        </w:rPr>
      </w:pPr>
      <w:r w:rsidRPr="00FE365E">
        <w:rPr>
          <w:rFonts w:ascii="Times New Roman" w:hAnsi="Times New Roman" w:cs="Times New Roman"/>
          <w:sz w:val="24"/>
          <w:szCs w:val="24"/>
        </w:rPr>
        <w:lastRenderedPageBreak/>
        <w:t>Cash Reserve Ratio (CRR) and Statutory Liquidity Ratio (SLR) are key regulatory tools used by central banks to control liquidity in the banking system. While CRR mandates a specific portion of deposits to be kept with the central bank, SLR requires banks to maintain liquid assets. Both impact a bank’s ability to lend, affecting profitability and liquidity management.</w:t>
      </w:r>
    </w:p>
    <w:p w14:paraId="5BC06A61" w14:textId="7EC3131C" w:rsidR="0047285B" w:rsidRPr="00FE365E" w:rsidRDefault="0047285B" w:rsidP="00AD4EF8">
      <w:pPr>
        <w:spacing w:line="276" w:lineRule="auto"/>
        <w:jc w:val="both"/>
        <w:rPr>
          <w:rFonts w:ascii="Times New Roman" w:hAnsi="Times New Roman" w:cs="Times New Roman"/>
          <w:b/>
          <w:bCs/>
          <w:sz w:val="24"/>
          <w:szCs w:val="24"/>
        </w:rPr>
      </w:pPr>
      <w:r w:rsidRPr="00FE365E">
        <w:rPr>
          <w:rFonts w:ascii="Times New Roman" w:hAnsi="Times New Roman" w:cs="Times New Roman"/>
          <w:b/>
          <w:bCs/>
          <w:sz w:val="24"/>
          <w:szCs w:val="24"/>
        </w:rPr>
        <w:t>Differences between Cash Reserve Ratio (CRR) and Statutory Liquidity Ratio (SLR):</w:t>
      </w:r>
    </w:p>
    <w:p w14:paraId="38AF15C3" w14:textId="119D053B" w:rsidR="0047285B" w:rsidRPr="00FE365E" w:rsidRDefault="0047285B" w:rsidP="00AD4EF8">
      <w:pPr>
        <w:spacing w:line="276" w:lineRule="auto"/>
        <w:jc w:val="both"/>
        <w:rPr>
          <w:rFonts w:ascii="Times New Roman" w:hAnsi="Times New Roman" w:cs="Times New Roman"/>
          <w:b/>
          <w:bCs/>
          <w:sz w:val="24"/>
          <w:szCs w:val="24"/>
        </w:rPr>
      </w:pPr>
      <w:r w:rsidRPr="00FE365E">
        <w:rPr>
          <w:rFonts w:ascii="Times New Roman" w:hAnsi="Times New Roman" w:cs="Times New Roman"/>
          <w:b/>
          <w:bCs/>
          <w:sz w:val="24"/>
          <w:szCs w:val="24"/>
        </w:rPr>
        <w:t>Impact on Banks' Profitability:</w:t>
      </w:r>
    </w:p>
    <w:p w14:paraId="671EBC19" w14:textId="77777777" w:rsidR="000A37F6" w:rsidRPr="00FF5F02" w:rsidRDefault="000A37F6" w:rsidP="000A37F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122F405" w14:textId="77777777" w:rsidR="000A37F6" w:rsidRPr="00FF5F02" w:rsidRDefault="000A37F6" w:rsidP="000A37F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4F83962" w14:textId="77777777" w:rsidR="000A37F6" w:rsidRPr="00FF5F02" w:rsidRDefault="000A37F6" w:rsidP="000A37F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1BE4F13" w14:textId="77777777" w:rsidR="000A37F6" w:rsidRPr="00FF5F02" w:rsidRDefault="000A37F6" w:rsidP="000A37F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CEC6A04" w14:textId="77777777" w:rsidR="000A37F6" w:rsidRPr="00FF5F02" w:rsidRDefault="000A37F6" w:rsidP="000A37F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64ABD452" w14:textId="77777777" w:rsidR="000A37F6" w:rsidRPr="00FF5F02" w:rsidRDefault="000A37F6" w:rsidP="000A37F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EFD48D3" w14:textId="77777777" w:rsidR="000A37F6" w:rsidRPr="00D20F89" w:rsidRDefault="000A37F6" w:rsidP="000A37F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1FD4F2B1" w14:textId="77777777" w:rsidR="0047285B" w:rsidRPr="00AD4EF8" w:rsidRDefault="0047285B" w:rsidP="00AD4EF8">
      <w:pPr>
        <w:spacing w:line="276" w:lineRule="auto"/>
        <w:jc w:val="both"/>
        <w:rPr>
          <w:rFonts w:ascii="Times New Roman" w:hAnsi="Times New Roman" w:cs="Times New Roman"/>
          <w:sz w:val="24"/>
          <w:szCs w:val="24"/>
        </w:rPr>
      </w:pPr>
    </w:p>
    <w:sectPr w:rsidR="0047285B" w:rsidRPr="00AD4E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F8"/>
    <w:rsid w:val="0002066D"/>
    <w:rsid w:val="000A37F6"/>
    <w:rsid w:val="000E6F71"/>
    <w:rsid w:val="00171F07"/>
    <w:rsid w:val="001F6B1A"/>
    <w:rsid w:val="00261E90"/>
    <w:rsid w:val="0027543D"/>
    <w:rsid w:val="002B5A6B"/>
    <w:rsid w:val="003454E8"/>
    <w:rsid w:val="003B59D5"/>
    <w:rsid w:val="0047285B"/>
    <w:rsid w:val="004C5345"/>
    <w:rsid w:val="004F27A5"/>
    <w:rsid w:val="00533E2B"/>
    <w:rsid w:val="00646579"/>
    <w:rsid w:val="006D4189"/>
    <w:rsid w:val="0084217A"/>
    <w:rsid w:val="008A3539"/>
    <w:rsid w:val="008A4EAB"/>
    <w:rsid w:val="008D1260"/>
    <w:rsid w:val="008D4BCC"/>
    <w:rsid w:val="00912A5E"/>
    <w:rsid w:val="009B4D78"/>
    <w:rsid w:val="009F52FB"/>
    <w:rsid w:val="00AD4EF8"/>
    <w:rsid w:val="00AF77A7"/>
    <w:rsid w:val="00B071E9"/>
    <w:rsid w:val="00B072C9"/>
    <w:rsid w:val="00B32C6E"/>
    <w:rsid w:val="00BE6F6D"/>
    <w:rsid w:val="00C371E8"/>
    <w:rsid w:val="00C60BCB"/>
    <w:rsid w:val="00FE365E"/>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2CD6C"/>
  <w15:chartTrackingRefBased/>
  <w15:docId w15:val="{92B549FA-FACE-4A45-92FE-35111921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7A7"/>
  </w:style>
  <w:style w:type="paragraph" w:styleId="Heading1">
    <w:name w:val="heading 1"/>
    <w:basedOn w:val="Normal"/>
    <w:next w:val="Normal"/>
    <w:link w:val="Heading1Char"/>
    <w:uiPriority w:val="9"/>
    <w:qFormat/>
    <w:rsid w:val="00AD4E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4E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4E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4E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4E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4E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E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E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E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E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4E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4E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4E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4E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4E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E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E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EF8"/>
    <w:rPr>
      <w:rFonts w:eastAsiaTheme="majorEastAsia" w:cstheme="majorBidi"/>
      <w:color w:val="272727" w:themeColor="text1" w:themeTint="D8"/>
    </w:rPr>
  </w:style>
  <w:style w:type="paragraph" w:styleId="Title">
    <w:name w:val="Title"/>
    <w:basedOn w:val="Normal"/>
    <w:next w:val="Normal"/>
    <w:link w:val="TitleChar"/>
    <w:uiPriority w:val="10"/>
    <w:qFormat/>
    <w:rsid w:val="00AD4E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E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E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E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EF8"/>
    <w:pPr>
      <w:spacing w:before="160"/>
      <w:jc w:val="center"/>
    </w:pPr>
    <w:rPr>
      <w:i/>
      <w:iCs/>
      <w:color w:val="404040" w:themeColor="text1" w:themeTint="BF"/>
    </w:rPr>
  </w:style>
  <w:style w:type="character" w:customStyle="1" w:styleId="QuoteChar">
    <w:name w:val="Quote Char"/>
    <w:basedOn w:val="DefaultParagraphFont"/>
    <w:link w:val="Quote"/>
    <w:uiPriority w:val="29"/>
    <w:rsid w:val="00AD4EF8"/>
    <w:rPr>
      <w:i/>
      <w:iCs/>
      <w:color w:val="404040" w:themeColor="text1" w:themeTint="BF"/>
    </w:rPr>
  </w:style>
  <w:style w:type="paragraph" w:styleId="ListParagraph">
    <w:name w:val="List Paragraph"/>
    <w:basedOn w:val="Normal"/>
    <w:uiPriority w:val="34"/>
    <w:qFormat/>
    <w:rsid w:val="00AD4EF8"/>
    <w:pPr>
      <w:ind w:left="720"/>
      <w:contextualSpacing/>
    </w:pPr>
  </w:style>
  <w:style w:type="character" w:styleId="IntenseEmphasis">
    <w:name w:val="Intense Emphasis"/>
    <w:basedOn w:val="DefaultParagraphFont"/>
    <w:uiPriority w:val="21"/>
    <w:qFormat/>
    <w:rsid w:val="00AD4EF8"/>
    <w:rPr>
      <w:i/>
      <w:iCs/>
      <w:color w:val="2F5496" w:themeColor="accent1" w:themeShade="BF"/>
    </w:rPr>
  </w:style>
  <w:style w:type="paragraph" w:styleId="IntenseQuote">
    <w:name w:val="Intense Quote"/>
    <w:basedOn w:val="Normal"/>
    <w:next w:val="Normal"/>
    <w:link w:val="IntenseQuoteChar"/>
    <w:uiPriority w:val="30"/>
    <w:qFormat/>
    <w:rsid w:val="00AD4E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4EF8"/>
    <w:rPr>
      <w:i/>
      <w:iCs/>
      <w:color w:val="2F5496" w:themeColor="accent1" w:themeShade="BF"/>
    </w:rPr>
  </w:style>
  <w:style w:type="character" w:styleId="IntenseReference">
    <w:name w:val="Intense Reference"/>
    <w:basedOn w:val="DefaultParagraphFont"/>
    <w:uiPriority w:val="32"/>
    <w:qFormat/>
    <w:rsid w:val="00AD4EF8"/>
    <w:rPr>
      <w:b/>
      <w:bCs/>
      <w:smallCaps/>
      <w:color w:val="2F5496" w:themeColor="accent1" w:themeShade="BF"/>
      <w:spacing w:val="5"/>
    </w:rPr>
  </w:style>
  <w:style w:type="character" w:styleId="Hyperlink">
    <w:name w:val="Hyperlink"/>
    <w:basedOn w:val="DefaultParagraphFont"/>
    <w:uiPriority w:val="99"/>
    <w:unhideWhenUsed/>
    <w:rsid w:val="000A37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922</Words>
  <Characters>5259</Characters>
  <Application>Microsoft Office Word</Application>
  <DocSecurity>0</DocSecurity>
  <Lines>43</Lines>
  <Paragraphs>12</Paragraphs>
  <ScaleCrop>false</ScaleCrop>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15</cp:revision>
  <dcterms:created xsi:type="dcterms:W3CDTF">2025-01-25T09:22:00Z</dcterms:created>
  <dcterms:modified xsi:type="dcterms:W3CDTF">2025-01-25T09:31:00Z</dcterms:modified>
</cp:coreProperties>
</file>