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7590" w14:textId="77777777" w:rsidR="00A911C7" w:rsidRPr="00A911C7" w:rsidRDefault="00A911C7" w:rsidP="0053540E">
      <w:pPr>
        <w:spacing w:line="360" w:lineRule="auto"/>
        <w:jc w:val="center"/>
        <w:rPr>
          <w:rFonts w:ascii="Times New Roman" w:hAnsi="Times New Roman" w:cs="Times New Roman"/>
          <w:b/>
          <w:bCs/>
          <w:sz w:val="24"/>
          <w:szCs w:val="24"/>
          <w:u w:val="single"/>
        </w:rPr>
      </w:pPr>
      <w:r w:rsidRPr="00A911C7">
        <w:rPr>
          <w:rFonts w:ascii="Times New Roman" w:hAnsi="Times New Roman" w:cs="Times New Roman"/>
          <w:b/>
          <w:bCs/>
          <w:sz w:val="24"/>
          <w:szCs w:val="24"/>
          <w:u w:val="single"/>
        </w:rPr>
        <w:t>Treasury Management in Banking</w:t>
      </w:r>
    </w:p>
    <w:p w14:paraId="470BDCA1" w14:textId="77777777" w:rsidR="009F7870" w:rsidRDefault="009F7870" w:rsidP="009F7870">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F7CEA92" w14:textId="4E27578B" w:rsidR="00A911C7" w:rsidRPr="009F7870" w:rsidRDefault="00A911C7" w:rsidP="0053540E">
      <w:pPr>
        <w:spacing w:line="360" w:lineRule="auto"/>
        <w:jc w:val="both"/>
        <w:rPr>
          <w:rFonts w:ascii="Times New Roman" w:hAnsi="Times New Roman" w:cs="Times New Roman"/>
          <w:b/>
          <w:bCs/>
          <w:sz w:val="24"/>
          <w:szCs w:val="24"/>
        </w:rPr>
      </w:pPr>
      <w:r w:rsidRPr="009F7870">
        <w:rPr>
          <w:rFonts w:ascii="Times New Roman" w:hAnsi="Times New Roman" w:cs="Times New Roman"/>
          <w:b/>
          <w:bCs/>
          <w:sz w:val="24"/>
          <w:szCs w:val="24"/>
        </w:rPr>
        <w:t>Q1. The organization structure of a Bank’s/Corporate Treasury unit involves designing of its operations across Front office, Mid-office, and Back office. Describe each of these three Businesses Offices in terms of its nature, purpose / objectives, and the skills / qualifications required in these three important Businesses units of the Banks/Corporate.</w:t>
      </w:r>
    </w:p>
    <w:p w14:paraId="4924E2A0" w14:textId="76C4EA3E" w:rsidR="00183EAE" w:rsidRPr="00183EAE" w:rsidRDefault="00183EAE" w:rsidP="0053540E">
      <w:pPr>
        <w:spacing w:line="360" w:lineRule="auto"/>
        <w:jc w:val="both"/>
        <w:rPr>
          <w:rFonts w:ascii="Times New Roman" w:hAnsi="Times New Roman" w:cs="Times New Roman"/>
          <w:b/>
          <w:bCs/>
          <w:sz w:val="24"/>
          <w:szCs w:val="24"/>
        </w:rPr>
      </w:pPr>
      <w:r w:rsidRPr="00183EAE">
        <w:rPr>
          <w:rFonts w:ascii="Times New Roman" w:hAnsi="Times New Roman" w:cs="Times New Roman"/>
          <w:b/>
          <w:bCs/>
          <w:sz w:val="24"/>
          <w:szCs w:val="24"/>
        </w:rPr>
        <w:t>Answer:</w:t>
      </w:r>
    </w:p>
    <w:p w14:paraId="74C4398B" w14:textId="0B159B1D" w:rsidR="00183EAE" w:rsidRPr="00183EAE" w:rsidRDefault="00183EAE" w:rsidP="0053540E">
      <w:pPr>
        <w:spacing w:line="360" w:lineRule="auto"/>
        <w:jc w:val="both"/>
        <w:rPr>
          <w:rFonts w:ascii="Times New Roman" w:hAnsi="Times New Roman" w:cs="Times New Roman"/>
          <w:b/>
          <w:bCs/>
          <w:sz w:val="24"/>
          <w:szCs w:val="24"/>
        </w:rPr>
      </w:pPr>
      <w:r w:rsidRPr="00183EAE">
        <w:rPr>
          <w:rFonts w:ascii="Times New Roman" w:hAnsi="Times New Roman" w:cs="Times New Roman"/>
          <w:b/>
          <w:bCs/>
          <w:sz w:val="24"/>
          <w:szCs w:val="24"/>
          <w:u w:val="single"/>
        </w:rPr>
        <w:t>Introduction</w:t>
      </w:r>
      <w:r w:rsidRPr="00183EAE">
        <w:rPr>
          <w:rFonts w:ascii="Times New Roman" w:hAnsi="Times New Roman" w:cs="Times New Roman"/>
          <w:b/>
          <w:bCs/>
          <w:sz w:val="24"/>
          <w:szCs w:val="24"/>
        </w:rPr>
        <w:t>:</w:t>
      </w:r>
    </w:p>
    <w:p w14:paraId="545E161F" w14:textId="77777777" w:rsidR="007C7811" w:rsidRPr="007C7811" w:rsidRDefault="007C7811" w:rsidP="007C7811">
      <w:pPr>
        <w:spacing w:line="360" w:lineRule="auto"/>
        <w:jc w:val="both"/>
        <w:rPr>
          <w:rFonts w:ascii="Times New Roman" w:hAnsi="Times New Roman" w:cs="Times New Roman"/>
          <w:sz w:val="24"/>
          <w:szCs w:val="24"/>
        </w:rPr>
      </w:pPr>
      <w:r w:rsidRPr="007C7811">
        <w:rPr>
          <w:rFonts w:ascii="Times New Roman" w:hAnsi="Times New Roman" w:cs="Times New Roman"/>
          <w:sz w:val="24"/>
          <w:szCs w:val="24"/>
        </w:rPr>
        <w:t>The organization structure of a Bank's or Corporate Treasury unit is essential for managing financial resources and risks effectively. It is typically divided into three key components: the Front Office, Mid-Office, and Back Office. Each of these components serves distinct functions and requires specific skill sets and qualifications.</w:t>
      </w:r>
    </w:p>
    <w:p w14:paraId="43192306" w14:textId="28D5FD13" w:rsidR="00183EAE" w:rsidRDefault="007C7811" w:rsidP="007C7811">
      <w:pPr>
        <w:spacing w:line="360" w:lineRule="auto"/>
        <w:jc w:val="both"/>
        <w:rPr>
          <w:rFonts w:ascii="Times New Roman" w:hAnsi="Times New Roman" w:cs="Times New Roman"/>
          <w:sz w:val="24"/>
          <w:szCs w:val="24"/>
        </w:rPr>
      </w:pPr>
      <w:r w:rsidRPr="007C7811">
        <w:rPr>
          <w:rFonts w:ascii="Times New Roman" w:hAnsi="Times New Roman" w:cs="Times New Roman"/>
          <w:sz w:val="24"/>
          <w:szCs w:val="24"/>
        </w:rPr>
        <w:t>The Front Office focuses on revenue generation through trading and investment activities. The Mid-Office manages risk, ensuring compliance and effective control over operations. The Back Office handles the administrative and support functions, ensuring seamless processing of transactions and accurate reporting. Understanding these components is crucial for professionals aspiring to work in treasury operations, as it highlights the diverse skill sets and competencies needed across these different areas to achieve the overall financial objectives of the organization.</w:t>
      </w:r>
    </w:p>
    <w:p w14:paraId="523162BB" w14:textId="77777777" w:rsidR="00183EAE" w:rsidRDefault="00183EAE" w:rsidP="0053540E">
      <w:pPr>
        <w:spacing w:line="360" w:lineRule="auto"/>
        <w:jc w:val="both"/>
        <w:rPr>
          <w:rFonts w:ascii="Times New Roman" w:hAnsi="Times New Roman" w:cs="Times New Roman"/>
          <w:sz w:val="24"/>
          <w:szCs w:val="24"/>
        </w:rPr>
      </w:pPr>
    </w:p>
    <w:p w14:paraId="6DF56DAF" w14:textId="77777777" w:rsidR="009F7870" w:rsidRPr="00FF5F02" w:rsidRDefault="009F7870" w:rsidP="009F787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7DB40D"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0716311"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8F23EE5"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63A81D"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A3540F8" w14:textId="77777777" w:rsidR="009F7870" w:rsidRPr="00FF5F02" w:rsidRDefault="009F7870" w:rsidP="009F787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80A3B2A" w14:textId="77777777" w:rsidR="009F7870" w:rsidRPr="00D20F89" w:rsidRDefault="009F7870" w:rsidP="009F787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8E993D3" w14:textId="77777777" w:rsidR="00183EAE" w:rsidRDefault="00183EAE" w:rsidP="0053540E">
      <w:pPr>
        <w:spacing w:line="360" w:lineRule="auto"/>
        <w:jc w:val="both"/>
        <w:rPr>
          <w:rFonts w:ascii="Times New Roman" w:hAnsi="Times New Roman" w:cs="Times New Roman"/>
          <w:sz w:val="24"/>
          <w:szCs w:val="24"/>
        </w:rPr>
      </w:pPr>
    </w:p>
    <w:p w14:paraId="3FE0BA16" w14:textId="77777777" w:rsidR="00A911C7" w:rsidRPr="009F7870" w:rsidRDefault="00A911C7" w:rsidP="0053540E">
      <w:pPr>
        <w:spacing w:line="360" w:lineRule="auto"/>
        <w:jc w:val="both"/>
        <w:rPr>
          <w:rFonts w:ascii="Times New Roman" w:hAnsi="Times New Roman" w:cs="Times New Roman"/>
          <w:b/>
          <w:bCs/>
          <w:sz w:val="24"/>
          <w:szCs w:val="24"/>
        </w:rPr>
      </w:pPr>
      <w:r w:rsidRPr="009F7870">
        <w:rPr>
          <w:rFonts w:ascii="Times New Roman" w:hAnsi="Times New Roman" w:cs="Times New Roman"/>
          <w:b/>
          <w:bCs/>
          <w:sz w:val="24"/>
          <w:szCs w:val="24"/>
        </w:rPr>
        <w:t>Q2. The Clearing Corporation of India (CCIL) plays an important role in trading and settlement of Forex. Money Market, Securities &amp; Derivative Products in India. Discuss the role played by CCIL in Trading and settlement of Forex – Spot and Forwards (Forex Derivatives) for Bankers and FX-Retail for the Corporates.</w:t>
      </w:r>
    </w:p>
    <w:p w14:paraId="160F0DFC" w14:textId="77777777" w:rsidR="00183EAE" w:rsidRPr="00183EAE" w:rsidRDefault="00183EAE" w:rsidP="00183EAE">
      <w:pPr>
        <w:spacing w:line="360" w:lineRule="auto"/>
        <w:jc w:val="both"/>
        <w:rPr>
          <w:rFonts w:ascii="Times New Roman" w:hAnsi="Times New Roman" w:cs="Times New Roman"/>
          <w:b/>
          <w:bCs/>
          <w:sz w:val="24"/>
          <w:szCs w:val="24"/>
        </w:rPr>
      </w:pPr>
      <w:r w:rsidRPr="00183EAE">
        <w:rPr>
          <w:rFonts w:ascii="Times New Roman" w:hAnsi="Times New Roman" w:cs="Times New Roman"/>
          <w:b/>
          <w:bCs/>
          <w:sz w:val="24"/>
          <w:szCs w:val="24"/>
        </w:rPr>
        <w:t>Answer:</w:t>
      </w:r>
    </w:p>
    <w:p w14:paraId="44A14D0B" w14:textId="5A98333F" w:rsidR="00183EAE" w:rsidRDefault="00183EAE" w:rsidP="00183EAE">
      <w:pPr>
        <w:spacing w:line="360" w:lineRule="auto"/>
        <w:jc w:val="both"/>
        <w:rPr>
          <w:rFonts w:ascii="Times New Roman" w:hAnsi="Times New Roman" w:cs="Times New Roman"/>
          <w:sz w:val="24"/>
          <w:szCs w:val="24"/>
        </w:rPr>
      </w:pPr>
      <w:r w:rsidRPr="00183EAE">
        <w:rPr>
          <w:rFonts w:ascii="Times New Roman" w:hAnsi="Times New Roman" w:cs="Times New Roman"/>
          <w:b/>
          <w:bCs/>
          <w:sz w:val="24"/>
          <w:szCs w:val="24"/>
          <w:u w:val="single"/>
        </w:rPr>
        <w:t>Introduction</w:t>
      </w:r>
      <w:r w:rsidRPr="00183EAE">
        <w:rPr>
          <w:rFonts w:ascii="Times New Roman" w:hAnsi="Times New Roman" w:cs="Times New Roman"/>
          <w:b/>
          <w:bCs/>
          <w:sz w:val="24"/>
          <w:szCs w:val="24"/>
        </w:rPr>
        <w:t>:</w:t>
      </w:r>
    </w:p>
    <w:p w14:paraId="00AA085A" w14:textId="6C9484CA" w:rsidR="00183EAE" w:rsidRDefault="00823AF9" w:rsidP="0053540E">
      <w:pPr>
        <w:spacing w:line="360" w:lineRule="auto"/>
        <w:jc w:val="both"/>
        <w:rPr>
          <w:rFonts w:ascii="Times New Roman" w:hAnsi="Times New Roman" w:cs="Times New Roman"/>
          <w:sz w:val="24"/>
          <w:szCs w:val="24"/>
        </w:rPr>
      </w:pPr>
      <w:r w:rsidRPr="00823AF9">
        <w:rPr>
          <w:rFonts w:ascii="Times New Roman" w:hAnsi="Times New Roman" w:cs="Times New Roman"/>
          <w:sz w:val="24"/>
          <w:szCs w:val="24"/>
        </w:rPr>
        <w:t>The Clearing Corporation of India Limited (CCIL) serves a crucial function in the Indian financial market, particularly in the trading and settlement of foreign exchange (Forex) transactions. As a central counterparty, CCIL mitigates counterparty risk and enhances the efficiency of Forex trading, encompassing spot and forward contracts. For bankers, CCIL provides a streamlined platform for settling Forex transactions, ensuring transparency and security. It also plays a pivotal role in managing the complexities of Forex derivatives, enabling banks to hedge against currency fluctuations. For corporates, particularly those engaging in FX-retail activities, CCIL facilitates the smooth execution and settlement of Forex transactions, ultimately fostering a more stable and reliable trading environment. This comprehensive role significantly contributes to the overall stability of India's financial markets.</w:t>
      </w:r>
    </w:p>
    <w:p w14:paraId="45D31C24" w14:textId="77777777" w:rsidR="00823AF9" w:rsidRDefault="00823AF9" w:rsidP="0053540E">
      <w:pPr>
        <w:spacing w:line="360" w:lineRule="auto"/>
        <w:jc w:val="both"/>
        <w:rPr>
          <w:rFonts w:ascii="Times New Roman" w:hAnsi="Times New Roman" w:cs="Times New Roman"/>
          <w:sz w:val="24"/>
          <w:szCs w:val="24"/>
        </w:rPr>
      </w:pPr>
    </w:p>
    <w:p w14:paraId="50C2196A" w14:textId="77777777" w:rsidR="009F7870" w:rsidRPr="00FF5F02" w:rsidRDefault="009F7870" w:rsidP="009F787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155DFE2"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67ABBEB"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D87DF8A"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097A1AC"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4223D18" w14:textId="77777777" w:rsidR="009F7870" w:rsidRPr="00FF5F02" w:rsidRDefault="009F7870" w:rsidP="009F787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8E93FE" w14:textId="77777777" w:rsidR="009F7870" w:rsidRPr="00D20F89" w:rsidRDefault="009F7870" w:rsidP="009F787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62EE98A" w14:textId="77777777" w:rsidR="009F7870" w:rsidRDefault="009F7870" w:rsidP="0053540E">
      <w:pPr>
        <w:spacing w:line="360" w:lineRule="auto"/>
        <w:jc w:val="both"/>
        <w:rPr>
          <w:rFonts w:ascii="Times New Roman" w:hAnsi="Times New Roman" w:cs="Times New Roman"/>
          <w:sz w:val="24"/>
          <w:szCs w:val="24"/>
        </w:rPr>
      </w:pPr>
    </w:p>
    <w:p w14:paraId="225730E2" w14:textId="77777777" w:rsidR="00A911C7" w:rsidRPr="009F7870" w:rsidRDefault="00A911C7" w:rsidP="0053540E">
      <w:pPr>
        <w:spacing w:line="360" w:lineRule="auto"/>
        <w:jc w:val="both"/>
        <w:rPr>
          <w:rFonts w:ascii="Times New Roman" w:hAnsi="Times New Roman" w:cs="Times New Roman"/>
          <w:b/>
          <w:bCs/>
          <w:sz w:val="24"/>
          <w:szCs w:val="24"/>
        </w:rPr>
      </w:pPr>
      <w:r w:rsidRPr="009F7870">
        <w:rPr>
          <w:rFonts w:ascii="Times New Roman" w:hAnsi="Times New Roman" w:cs="Times New Roman"/>
          <w:b/>
          <w:bCs/>
          <w:sz w:val="24"/>
          <w:szCs w:val="24"/>
        </w:rPr>
        <w:t>Q3. “A prudent Interest Rate management ensures bank’s profitability, MTM of Bank’s portfolio of securities and overall inflation stability in an economy”</w:t>
      </w:r>
    </w:p>
    <w:p w14:paraId="031DB894" w14:textId="77777777" w:rsidR="00A911C7" w:rsidRDefault="00A911C7" w:rsidP="0053540E">
      <w:pPr>
        <w:spacing w:line="360" w:lineRule="auto"/>
        <w:jc w:val="both"/>
        <w:rPr>
          <w:rFonts w:ascii="Times New Roman" w:hAnsi="Times New Roman" w:cs="Times New Roman"/>
          <w:sz w:val="24"/>
          <w:szCs w:val="24"/>
        </w:rPr>
      </w:pPr>
      <w:r w:rsidRPr="009F7870">
        <w:rPr>
          <w:rFonts w:ascii="Times New Roman" w:hAnsi="Times New Roman" w:cs="Times New Roman"/>
          <w:b/>
          <w:bCs/>
          <w:sz w:val="24"/>
          <w:szCs w:val="24"/>
        </w:rPr>
        <w:t>a. Discuss The impact on Bank’s profitability/MTM on Bank’s portfolio of securities and inflation when Repo increases and reduces respectively.</w:t>
      </w:r>
    </w:p>
    <w:p w14:paraId="258CAC4E" w14:textId="77777777" w:rsidR="00183EAE" w:rsidRPr="00183EAE" w:rsidRDefault="00183EAE" w:rsidP="00183EAE">
      <w:pPr>
        <w:spacing w:line="360" w:lineRule="auto"/>
        <w:jc w:val="both"/>
        <w:rPr>
          <w:rFonts w:ascii="Times New Roman" w:hAnsi="Times New Roman" w:cs="Times New Roman"/>
          <w:b/>
          <w:bCs/>
          <w:sz w:val="24"/>
          <w:szCs w:val="24"/>
        </w:rPr>
      </w:pPr>
      <w:r w:rsidRPr="00183EAE">
        <w:rPr>
          <w:rFonts w:ascii="Times New Roman" w:hAnsi="Times New Roman" w:cs="Times New Roman"/>
          <w:b/>
          <w:bCs/>
          <w:sz w:val="24"/>
          <w:szCs w:val="24"/>
        </w:rPr>
        <w:t>Answer:</w:t>
      </w:r>
    </w:p>
    <w:p w14:paraId="740F6688" w14:textId="20BAF219" w:rsidR="00183EAE" w:rsidRDefault="00183EAE" w:rsidP="00183EAE">
      <w:pPr>
        <w:spacing w:line="360" w:lineRule="auto"/>
        <w:jc w:val="both"/>
        <w:rPr>
          <w:rFonts w:ascii="Times New Roman" w:hAnsi="Times New Roman" w:cs="Times New Roman"/>
          <w:sz w:val="24"/>
          <w:szCs w:val="24"/>
        </w:rPr>
      </w:pPr>
      <w:r w:rsidRPr="00183EAE">
        <w:rPr>
          <w:rFonts w:ascii="Times New Roman" w:hAnsi="Times New Roman" w:cs="Times New Roman"/>
          <w:b/>
          <w:bCs/>
          <w:sz w:val="24"/>
          <w:szCs w:val="24"/>
          <w:u w:val="single"/>
        </w:rPr>
        <w:t>Introduction</w:t>
      </w:r>
      <w:r w:rsidRPr="00183EAE">
        <w:rPr>
          <w:rFonts w:ascii="Times New Roman" w:hAnsi="Times New Roman" w:cs="Times New Roman"/>
          <w:b/>
          <w:bCs/>
          <w:sz w:val="24"/>
          <w:szCs w:val="24"/>
        </w:rPr>
        <w:t>:</w:t>
      </w:r>
    </w:p>
    <w:p w14:paraId="1D8F8276" w14:textId="51BEE0FE" w:rsidR="00183EAE" w:rsidRDefault="00144097" w:rsidP="0053540E">
      <w:pPr>
        <w:spacing w:line="360" w:lineRule="auto"/>
        <w:jc w:val="both"/>
        <w:rPr>
          <w:rFonts w:ascii="Times New Roman" w:hAnsi="Times New Roman" w:cs="Times New Roman"/>
          <w:sz w:val="24"/>
          <w:szCs w:val="24"/>
        </w:rPr>
      </w:pPr>
      <w:r w:rsidRPr="00144097">
        <w:rPr>
          <w:rFonts w:ascii="Times New Roman" w:hAnsi="Times New Roman" w:cs="Times New Roman"/>
          <w:sz w:val="24"/>
          <w:szCs w:val="24"/>
        </w:rPr>
        <w:t>Interest rate management is crucial for banks, significantly affecting their profitability, mark-to-market (MTM) valuation of securities, and broader economic stability. Changes in the repo rate, which is the rate at which the central bank lends to commercial banks, directly influence lending rates, investment decisions, and consumer spending. An increase in the repo rate typically results in higher borrowing costs for banks, impacting their profitability and MTM values. Conversely, a decrease can stimulate economic activity but may also introduce inflationary pressures. Understanding these dynamics is essential for effective financial management.</w:t>
      </w:r>
    </w:p>
    <w:p w14:paraId="4505D228" w14:textId="77777777" w:rsidR="00144097" w:rsidRDefault="00144097" w:rsidP="0053540E">
      <w:pPr>
        <w:spacing w:line="360" w:lineRule="auto"/>
        <w:jc w:val="both"/>
        <w:rPr>
          <w:rFonts w:ascii="Times New Roman" w:hAnsi="Times New Roman" w:cs="Times New Roman"/>
          <w:sz w:val="24"/>
          <w:szCs w:val="24"/>
        </w:rPr>
      </w:pPr>
    </w:p>
    <w:p w14:paraId="357896D8" w14:textId="77777777" w:rsidR="009F7870" w:rsidRPr="00FF5F02" w:rsidRDefault="009F7870" w:rsidP="009F787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E3FA7FA"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B1C0720"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D4A2048"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FC532D6"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B3C1CED" w14:textId="77777777" w:rsidR="009F7870" w:rsidRPr="00FF5F02" w:rsidRDefault="009F7870" w:rsidP="009F787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C2E7A21" w14:textId="77777777" w:rsidR="009F7870" w:rsidRPr="00D20F89" w:rsidRDefault="009F7870" w:rsidP="009F787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942DF2E" w14:textId="77777777" w:rsidR="009F7870" w:rsidRDefault="009F7870" w:rsidP="0053540E">
      <w:pPr>
        <w:spacing w:line="360" w:lineRule="auto"/>
        <w:jc w:val="both"/>
        <w:rPr>
          <w:rFonts w:ascii="Times New Roman" w:hAnsi="Times New Roman" w:cs="Times New Roman"/>
          <w:sz w:val="24"/>
          <w:szCs w:val="24"/>
        </w:rPr>
      </w:pPr>
    </w:p>
    <w:p w14:paraId="4CC61E77" w14:textId="0F6BBEB6" w:rsidR="00A911C7" w:rsidRPr="009F7870" w:rsidRDefault="00A911C7" w:rsidP="0053540E">
      <w:pPr>
        <w:spacing w:line="360" w:lineRule="auto"/>
        <w:jc w:val="both"/>
        <w:rPr>
          <w:rFonts w:ascii="Times New Roman" w:hAnsi="Times New Roman" w:cs="Times New Roman"/>
          <w:b/>
          <w:bCs/>
          <w:sz w:val="24"/>
          <w:szCs w:val="24"/>
        </w:rPr>
      </w:pPr>
      <w:r w:rsidRPr="009F7870">
        <w:rPr>
          <w:rFonts w:ascii="Times New Roman" w:hAnsi="Times New Roman" w:cs="Times New Roman"/>
          <w:b/>
          <w:bCs/>
          <w:sz w:val="24"/>
          <w:szCs w:val="24"/>
        </w:rPr>
        <w:t>b.</w:t>
      </w:r>
      <w:r w:rsidR="00656D21" w:rsidRPr="009F7870">
        <w:rPr>
          <w:rFonts w:ascii="Times New Roman" w:hAnsi="Times New Roman" w:cs="Times New Roman"/>
          <w:b/>
          <w:bCs/>
          <w:sz w:val="24"/>
          <w:szCs w:val="24"/>
        </w:rPr>
        <w:t xml:space="preserve"> </w:t>
      </w:r>
      <w:r w:rsidRPr="009F7870">
        <w:rPr>
          <w:rFonts w:ascii="Times New Roman" w:hAnsi="Times New Roman" w:cs="Times New Roman"/>
          <w:b/>
          <w:bCs/>
          <w:sz w:val="24"/>
          <w:szCs w:val="24"/>
        </w:rPr>
        <w:t>Explain the difference &amp; Purpose of Repo Rate and Reverse Repo Rate.</w:t>
      </w:r>
    </w:p>
    <w:p w14:paraId="15B00151" w14:textId="77777777" w:rsidR="00183EAE" w:rsidRPr="00183EAE" w:rsidRDefault="00183EAE" w:rsidP="00183EAE">
      <w:pPr>
        <w:spacing w:line="360" w:lineRule="auto"/>
        <w:jc w:val="both"/>
        <w:rPr>
          <w:rFonts w:ascii="Times New Roman" w:hAnsi="Times New Roman" w:cs="Times New Roman"/>
          <w:b/>
          <w:bCs/>
          <w:sz w:val="24"/>
          <w:szCs w:val="24"/>
        </w:rPr>
      </w:pPr>
      <w:r w:rsidRPr="00183EAE">
        <w:rPr>
          <w:rFonts w:ascii="Times New Roman" w:hAnsi="Times New Roman" w:cs="Times New Roman"/>
          <w:b/>
          <w:bCs/>
          <w:sz w:val="24"/>
          <w:szCs w:val="24"/>
        </w:rPr>
        <w:t>Answer:</w:t>
      </w:r>
    </w:p>
    <w:p w14:paraId="68440CE8" w14:textId="1C2F3C85" w:rsidR="00183EAE" w:rsidRDefault="00183EAE" w:rsidP="00183EAE">
      <w:pPr>
        <w:spacing w:line="360" w:lineRule="auto"/>
        <w:jc w:val="both"/>
        <w:rPr>
          <w:rFonts w:ascii="Times New Roman" w:hAnsi="Times New Roman" w:cs="Times New Roman"/>
          <w:sz w:val="24"/>
          <w:szCs w:val="24"/>
        </w:rPr>
      </w:pPr>
      <w:r w:rsidRPr="00183EAE">
        <w:rPr>
          <w:rFonts w:ascii="Times New Roman" w:hAnsi="Times New Roman" w:cs="Times New Roman"/>
          <w:b/>
          <w:bCs/>
          <w:sz w:val="24"/>
          <w:szCs w:val="24"/>
          <w:u w:val="single"/>
        </w:rPr>
        <w:t>Introduction</w:t>
      </w:r>
      <w:r w:rsidRPr="00183EAE">
        <w:rPr>
          <w:rFonts w:ascii="Times New Roman" w:hAnsi="Times New Roman" w:cs="Times New Roman"/>
          <w:b/>
          <w:bCs/>
          <w:sz w:val="24"/>
          <w:szCs w:val="24"/>
        </w:rPr>
        <w:t>:</w:t>
      </w:r>
    </w:p>
    <w:p w14:paraId="376E3C1B" w14:textId="77777777" w:rsidR="00E46102" w:rsidRPr="00E46102" w:rsidRDefault="00E46102" w:rsidP="00E46102">
      <w:pPr>
        <w:spacing w:line="360" w:lineRule="auto"/>
        <w:jc w:val="both"/>
        <w:rPr>
          <w:rFonts w:ascii="Times New Roman" w:hAnsi="Times New Roman" w:cs="Times New Roman"/>
          <w:sz w:val="24"/>
          <w:szCs w:val="24"/>
        </w:rPr>
      </w:pPr>
      <w:r w:rsidRPr="00E46102">
        <w:rPr>
          <w:rFonts w:ascii="Times New Roman" w:hAnsi="Times New Roman" w:cs="Times New Roman"/>
          <w:sz w:val="24"/>
          <w:szCs w:val="24"/>
        </w:rPr>
        <w:t>The repo rate and reverse repo rate are critical components of monetary policy used by central banks to manage liquidity and control inflation. The repo rate is the interest rate at which the central bank lends money to commercial banks, facilitating short-term borrowing. In contrast, the reverse repo rate is the rate at which the central bank borrows money from commercial banks, typically to absorb excess liquidity in the banking system. Understanding the distinction and purpose of these rates is vital for grasping their impact on banking operations and the economy.</w:t>
      </w:r>
    </w:p>
    <w:p w14:paraId="1B04A6B6" w14:textId="77777777" w:rsidR="00E46102" w:rsidRPr="00E46102" w:rsidRDefault="00E46102" w:rsidP="00E46102">
      <w:pPr>
        <w:spacing w:line="360" w:lineRule="auto"/>
        <w:jc w:val="both"/>
        <w:rPr>
          <w:rFonts w:ascii="Times New Roman" w:hAnsi="Times New Roman" w:cs="Times New Roman"/>
          <w:sz w:val="24"/>
          <w:szCs w:val="24"/>
        </w:rPr>
      </w:pPr>
    </w:p>
    <w:p w14:paraId="77C35280" w14:textId="77777777" w:rsidR="009F7870" w:rsidRPr="00FF5F02" w:rsidRDefault="009F7870" w:rsidP="009F787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40F8C8"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694C2EF"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4072018"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0670752" w14:textId="77777777" w:rsidR="009F7870" w:rsidRPr="00FF5F02" w:rsidRDefault="009F7870" w:rsidP="009F78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B909D05" w14:textId="77777777" w:rsidR="009F7870" w:rsidRPr="00FF5F02" w:rsidRDefault="009F7870" w:rsidP="009F787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5E4A68D" w14:textId="77777777" w:rsidR="009F7870" w:rsidRPr="00D20F89" w:rsidRDefault="009F7870" w:rsidP="009F787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C7C51DC" w14:textId="77777777" w:rsidR="00E46102" w:rsidRPr="00E46102" w:rsidRDefault="00E46102" w:rsidP="00E46102">
      <w:pPr>
        <w:spacing w:line="360" w:lineRule="auto"/>
        <w:jc w:val="both"/>
        <w:rPr>
          <w:rFonts w:ascii="Times New Roman" w:hAnsi="Times New Roman" w:cs="Times New Roman"/>
          <w:sz w:val="24"/>
          <w:szCs w:val="24"/>
        </w:rPr>
      </w:pPr>
    </w:p>
    <w:p w14:paraId="685D322C" w14:textId="77777777" w:rsidR="00E46102" w:rsidRPr="00E46102" w:rsidRDefault="00E46102" w:rsidP="00E46102">
      <w:pPr>
        <w:spacing w:line="360" w:lineRule="auto"/>
        <w:jc w:val="both"/>
        <w:rPr>
          <w:rFonts w:ascii="Times New Roman" w:hAnsi="Times New Roman" w:cs="Times New Roman"/>
          <w:sz w:val="24"/>
          <w:szCs w:val="24"/>
        </w:rPr>
      </w:pPr>
    </w:p>
    <w:p w14:paraId="5A5AA63D" w14:textId="77777777" w:rsidR="00E46102" w:rsidRPr="00E46102" w:rsidRDefault="00E46102" w:rsidP="00E46102">
      <w:pPr>
        <w:spacing w:line="360" w:lineRule="auto"/>
        <w:jc w:val="both"/>
        <w:rPr>
          <w:rFonts w:ascii="Times New Roman" w:hAnsi="Times New Roman" w:cs="Times New Roman"/>
          <w:sz w:val="24"/>
          <w:szCs w:val="24"/>
        </w:rPr>
      </w:pPr>
    </w:p>
    <w:p w14:paraId="62A84D59" w14:textId="77777777" w:rsidR="00E46102" w:rsidRPr="00E46102" w:rsidRDefault="00E46102" w:rsidP="00E46102">
      <w:pPr>
        <w:spacing w:line="360" w:lineRule="auto"/>
        <w:jc w:val="both"/>
        <w:rPr>
          <w:rFonts w:ascii="Times New Roman" w:hAnsi="Times New Roman" w:cs="Times New Roman"/>
          <w:sz w:val="24"/>
          <w:szCs w:val="24"/>
        </w:rPr>
      </w:pPr>
    </w:p>
    <w:p w14:paraId="33605EB9" w14:textId="77777777" w:rsidR="00183EAE" w:rsidRDefault="00183EAE" w:rsidP="00183EAE">
      <w:pPr>
        <w:spacing w:line="360" w:lineRule="auto"/>
        <w:jc w:val="both"/>
        <w:rPr>
          <w:rFonts w:ascii="Times New Roman" w:hAnsi="Times New Roman" w:cs="Times New Roman"/>
          <w:sz w:val="24"/>
          <w:szCs w:val="24"/>
        </w:rPr>
      </w:pPr>
    </w:p>
    <w:p w14:paraId="1BF01B92" w14:textId="77777777" w:rsidR="00183EAE" w:rsidRPr="00183EAE" w:rsidRDefault="00183EAE" w:rsidP="00183EAE">
      <w:pPr>
        <w:spacing w:line="360" w:lineRule="auto"/>
        <w:jc w:val="both"/>
        <w:rPr>
          <w:rFonts w:ascii="Times New Roman" w:hAnsi="Times New Roman" w:cs="Times New Roman"/>
          <w:sz w:val="24"/>
          <w:szCs w:val="24"/>
        </w:rPr>
      </w:pPr>
    </w:p>
    <w:p w14:paraId="3C9208F2" w14:textId="77777777" w:rsidR="00A911C7" w:rsidRPr="00A911C7" w:rsidRDefault="00A911C7" w:rsidP="0053540E">
      <w:pPr>
        <w:spacing w:line="360" w:lineRule="auto"/>
        <w:jc w:val="both"/>
        <w:rPr>
          <w:rFonts w:ascii="Times New Roman" w:hAnsi="Times New Roman" w:cs="Times New Roman"/>
          <w:sz w:val="24"/>
          <w:szCs w:val="24"/>
        </w:rPr>
      </w:pPr>
    </w:p>
    <w:p w14:paraId="45AD81B5" w14:textId="77777777" w:rsidR="002B5A6B" w:rsidRPr="00A911C7" w:rsidRDefault="002B5A6B" w:rsidP="0053540E">
      <w:pPr>
        <w:spacing w:line="360" w:lineRule="auto"/>
        <w:jc w:val="both"/>
        <w:rPr>
          <w:rFonts w:ascii="Times New Roman" w:hAnsi="Times New Roman" w:cs="Times New Roman"/>
          <w:sz w:val="24"/>
          <w:szCs w:val="24"/>
        </w:rPr>
      </w:pPr>
    </w:p>
    <w:sectPr w:rsidR="002B5A6B" w:rsidRPr="00A911C7" w:rsidSect="0053540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C7"/>
    <w:rsid w:val="00144097"/>
    <w:rsid w:val="00171F07"/>
    <w:rsid w:val="00183EAE"/>
    <w:rsid w:val="001F6B1A"/>
    <w:rsid w:val="00261E90"/>
    <w:rsid w:val="002B5A6B"/>
    <w:rsid w:val="003B59D5"/>
    <w:rsid w:val="004C5345"/>
    <w:rsid w:val="00533E2B"/>
    <w:rsid w:val="0053540E"/>
    <w:rsid w:val="00656D21"/>
    <w:rsid w:val="007C7811"/>
    <w:rsid w:val="00823AF9"/>
    <w:rsid w:val="0084217A"/>
    <w:rsid w:val="008A3539"/>
    <w:rsid w:val="008D1260"/>
    <w:rsid w:val="008D4BCC"/>
    <w:rsid w:val="009B4D78"/>
    <w:rsid w:val="009F7870"/>
    <w:rsid w:val="00A911C7"/>
    <w:rsid w:val="00AD0316"/>
    <w:rsid w:val="00B071E9"/>
    <w:rsid w:val="00B32C6E"/>
    <w:rsid w:val="00BE6F6D"/>
    <w:rsid w:val="00C371E8"/>
    <w:rsid w:val="00C60BCB"/>
    <w:rsid w:val="00E46102"/>
    <w:rsid w:val="00FB0A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30D2"/>
  <w15:chartTrackingRefBased/>
  <w15:docId w15:val="{56831810-5932-44B6-A615-E39F329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EAE"/>
    <w:pPr>
      <w:ind w:left="720"/>
      <w:contextualSpacing/>
    </w:pPr>
  </w:style>
  <w:style w:type="character" w:styleId="Hyperlink">
    <w:name w:val="Hyperlink"/>
    <w:basedOn w:val="DefaultParagraphFont"/>
    <w:uiPriority w:val="99"/>
    <w:unhideWhenUsed/>
    <w:rsid w:val="009F7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10</cp:revision>
  <dcterms:created xsi:type="dcterms:W3CDTF">2024-10-16T07:31:00Z</dcterms:created>
  <dcterms:modified xsi:type="dcterms:W3CDTF">2024-10-16T09:59:00Z</dcterms:modified>
</cp:coreProperties>
</file>